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ძალაშია 2017 წლის 17 მაისიდან</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ვებგვერდი, 31/07/2017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სარეგისტრაციო კოდი </w:t>
      </w:r>
      <w:r>
        <w:rPr>
          <w:rFonts w:ascii="Sylfaen" w:eastAsia="Times New Roman" w:hAnsi="Sylfaen" w:cs="Sylfaen"/>
          <w:noProof/>
          <w:sz w:val="24"/>
          <w:szCs w:val="24"/>
          <w:lang w:eastAsia="x-none"/>
        </w:rPr>
        <w:tab/>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480610000.03.030.291101</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pStyle w:val="Normal0"/>
        <w:rPr>
          <w:rFonts w:ascii="Sylfaen" w:eastAsia="Times New Roman" w:hAnsi="Sylfaen" w:cs="Sylfaen"/>
          <w:noProof/>
          <w:lang w:eastAsia="x-none"/>
        </w:rPr>
      </w:pPr>
      <w:r>
        <w:rPr>
          <w:rFonts w:ascii="Sylfaen" w:eastAsia="Times New Roman" w:hAnsi="Sylfaen" w:cs="Sylfaen"/>
          <w:noProof/>
          <w:lang w:eastAsia="x-none"/>
        </w:rPr>
        <w:t>რატიფიცირებულია</w:t>
      </w:r>
    </w:p>
    <w:p w:rsidR="00D74962" w:rsidRDefault="00935DDF">
      <w:pPr>
        <w:pStyle w:val="Normal0"/>
        <w:rPr>
          <w:rFonts w:ascii="Sylfaen" w:eastAsia="Times New Roman" w:hAnsi="Sylfaen" w:cs="Sylfaen"/>
          <w:noProof/>
          <w:lang w:eastAsia="x-none"/>
        </w:rPr>
      </w:pPr>
      <w:r>
        <w:rPr>
          <w:rFonts w:ascii="Sylfaen" w:eastAsia="Times New Roman" w:hAnsi="Sylfaen" w:cs="Sylfaen"/>
          <w:noProof/>
          <w:lang w:eastAsia="x-none"/>
        </w:rPr>
        <w:t>საქართველოს პარლამენტის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r>
        <w:rPr>
          <w:rFonts w:ascii="Sylfaen" w:hAnsi="Sylfaen" w:cs="Sylfaen"/>
          <w:noProof/>
          <w:lang w:eastAsia="x-none"/>
        </w:rPr>
        <w:t xml:space="preserve">2017 </w:t>
      </w:r>
      <w:r>
        <w:rPr>
          <w:rFonts w:ascii="Sylfaen" w:eastAsia="Times New Roman" w:hAnsi="Sylfaen" w:cs="Sylfaen"/>
          <w:noProof/>
          <w:lang w:eastAsia="x-none"/>
        </w:rPr>
        <w:t>წლის 21 აპრილის N715-IIს დადგენილებით</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Pr="00C27941"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8"/>
          <w:szCs w:val="28"/>
          <w:lang w:val="ka-GE" w:eastAsia="x-none"/>
        </w:rPr>
      </w:pPr>
      <w:r>
        <w:rPr>
          <w:rFonts w:ascii="Sylfaen" w:eastAsia="Times New Roman" w:hAnsi="Sylfaen" w:cs="Sylfaen"/>
          <w:b/>
          <w:bCs/>
          <w:noProof/>
          <w:sz w:val="28"/>
          <w:szCs w:val="28"/>
          <w:lang w:eastAsia="x-none"/>
        </w:rPr>
        <w:t>პან-ევრო-ხმელთაშუა ზღვის პრეფერენციული წარმოშობის შესახებ რეგიონული კონვენცი</w:t>
      </w:r>
      <w:r w:rsidR="00C27941">
        <w:rPr>
          <w:rFonts w:ascii="Sylfaen" w:eastAsia="Times New Roman" w:hAnsi="Sylfaen" w:cs="Sylfaen"/>
          <w:b/>
          <w:bCs/>
          <w:noProof/>
          <w:sz w:val="28"/>
          <w:szCs w:val="28"/>
          <w:lang w:val="ka-GE" w:eastAsia="x-none"/>
        </w:rPr>
        <w:t>ის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Pr="00C27941" w:rsidRDefault="00935DDF" w:rsidP="00C279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val="en-US" w:eastAsia="x-none"/>
        </w:rPr>
      </w:pPr>
      <w:r>
        <w:rPr>
          <w:rFonts w:ascii="Sylfaen" w:eastAsia="Times New Roman" w:hAnsi="Sylfaen" w:cs="Sylfaen"/>
          <w:noProof/>
          <w:sz w:val="24"/>
          <w:szCs w:val="24"/>
          <w:lang w:eastAsia="x-none"/>
        </w:rPr>
        <w:t>დანართი II</w:t>
      </w:r>
      <w:r w:rsidR="00C27941">
        <w:rPr>
          <w:rFonts w:ascii="Sylfaen" w:eastAsia="Times New Roman" w:hAnsi="Sylfaen" w:cs="Sylfaen"/>
          <w:noProof/>
          <w:sz w:val="24"/>
          <w:szCs w:val="24"/>
          <w:lang w:val="ka-GE" w:eastAsia="x-none"/>
        </w:rPr>
        <w:t xml:space="preserve"> </w:t>
      </w:r>
      <w:r w:rsidR="00C27941" w:rsidRPr="00C27941">
        <w:rPr>
          <w:rFonts w:ascii="Sylfaen" w:eastAsia="Times New Roman" w:hAnsi="Sylfaen" w:cs="Sylfaen"/>
          <w:i/>
          <w:noProof/>
          <w:sz w:val="24"/>
          <w:szCs w:val="24"/>
          <w:lang w:val="ka-GE" w:eastAsia="x-none"/>
        </w:rPr>
        <w:t>(</w:t>
      </w:r>
      <w:r w:rsidR="00C27941" w:rsidRPr="00C27941">
        <w:rPr>
          <w:rFonts w:ascii="Sylfaen" w:eastAsia="Times New Roman" w:hAnsi="Sylfaen" w:cs="Sylfaen"/>
          <w:i/>
          <w:noProof/>
          <w:sz w:val="24"/>
          <w:szCs w:val="24"/>
          <w:lang w:val="en-US" w:eastAsia="x-none"/>
        </w:rPr>
        <w:t>Appendix II)</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სპეციალური დებულებები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I დამატებით გათვალისწინებული დებულებებიდან გადახვევა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სარჩევი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მუხლი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მუხლი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I ვაჭრობა ევროკავშირსა და ევროკავშირის სტაბილიზაციისა და ასოცირების პროცესის მონაწილეებს შორის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II ვაჭრობა ევროკავშირსა და ალჟირის სახალხო დემოკრატიულ რესპუბლიკას შორის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III ვაჭრობა ევროკავშირსა და მაროკოს სამეფოს შორის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IV ვაჭრობა ევროკავშირსა და ტუნისის რესპუბლიკას შორის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V სეუტა და მელილა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VI ერთობლივი დეკლარაცია ანდორას სამთავროს შესახებ</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VII ერთობლივი დეკლარაცია სან მარინოს შესახებ</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VIII ვაჭრობა თურქეთის რესპუბლიკასა და სტაბილიზაციისა და ასოცირების პროცესის მონაწილეებს შორის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XI ვაჭრობა თურქეთის რესპუბლიკასა და მონაკოს სამთავროს შორის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X ვაჭრობა თურქეთის რესპუბლიკასა და ტუნისის რესპუბლიკას შორის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XI ვაჭრობა ევროპის თავისუფალი ვაჭრობის ასოციაციის სახელმწიფოებსა და ტუნისის რესპუბლიკას შორის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XII ვაჭრობა ხმელთაშუა ზღვის არაბულ ქვეყნებს შორის თავისუფალი ვაჭრობის შეთანხმების ფარგლებში (აგადირის შეთანხმება)</w:t>
      </w:r>
      <w:bookmarkStart w:id="0" w:name="_GoBack"/>
      <w:bookmarkEnd w:id="0"/>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დანართი A მიმწოდებლის დეკლარაცია საქონლისთვის, რომელმაც გაიარა დამუშავება-გადამუშავების პროცესი ევროკავშირში, ალჟირში, მაროკოში ან ტუნისში პრეფერენციული წარმოშობის სტატუსის მიღების გარეშე</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B მიმწოდებლის გრძელვადიანი დეკლარაცია საქონლისთვის, რომელმაც გაიარა დამუშავება-გადამუშავების პროცესი ევროკავშირში, ალჟირში, მაროკოში ან ტუნისში პრეფერენციული წარმოშობის სტატუსის მიღების გარეშე</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C მიმწოდებლის დეკლარაცია საქონლისთვის, რომელმაც გაიარა დამუშავება-გადამუშავების პროცესი ალჟირში, მაროკოში, ტუნისში ან თურქეთში პრეფერენციული წარმოშობის სტატუსის მიღების გარეშე</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D მიმწოდებლის გრძელვადიანი დეკლარაცია საქონლისთვის, რომელმაც გაიარა დამუშავება-გადამუშავების პროცესი ალჟირში, მაროკოში, ტუნისში ან თურქეთში პრეფერენციული წარმოშობის სტატუსის მიღების გარეშე</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E მიმწოდებლის დეკლარაცია საქონლისთვის, რომელმაც გაიარა დამუშავება-გადამუშავების პროცესი ევროპის თავისუფალი ვაჭრობის ასოციაციის სახელმწიფოებში ან ტუნისში პრეფერენციული 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F მიმწოდებლის გრძელვადიანი დეკლარაცია საქონლისთვის, რომელმაც გაიარა დამუშავება-გადამუშავების პროცესი ევროპის თავისუფალი ვაჭრობის ასოციაციის სახელმწიფოებში ან ტუნისში პრეფერენციული 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ხელშემკვრელ მხარეებს შეუძლიათ თავიანთ ორმხრივ ვაჭრობაში გამოიყენონ სპეციალური დებულებები, რომლებიც უხვევენ I დანართით გათვალისწინებული დებულებებიდან.</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აღნიშნული სპეციალური დებულებები გაწერილია წინამდებარე დანართის დანართებში.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სეუტასა და მელილაში, ანდორასა და სან მარინოში წარმოშობილი საქონლის მიმართ უნდა განხორციელდეს იმგვარი მოპყრობა, თითქოს იგი წარმოშობილია დიაგონალური ვაჭრობის შედეგად, როგორც ეს განსაზღვრულია I დანართის მე-3 მუხლით, იმის გათვალისწინებით, რომ EUR-MED სერთიფიკატი ან EUR-MED წარმოშობის დეკლარაცია გაიცა წარმოშობის ქვეყანაში.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I</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ვაჭრობა ევროკავშირსა და ევროკავშირის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lastRenderedPageBreak/>
        <w:t>სტაბილიზაციისა და ასოცირების პროცესის მონაწილეებს შორის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ქვემოთ ჩამოთვლილი პროდუქცია გათავისუფლდება კუმულაციისგან, როგორც ეს გათვალისწინებულია I დანართის მე-3 მუხლით, თუ:</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 საბოლოო დანიშნულების ქვეყანა არის ევროკავშირი, და: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 აღნიშნული პროდუქტების წარმოებისას გამოყენებული მასალები წარმოშობილია ევროკავშირის სტაბილიზაციისა და ასოცირების პროცესის მონაწილე რომელიმე ქვეყანაში, ან</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ii. ამ პროდუქციამ მიიღო წარმოშობა იმ დამუშავებისა თუ გადამუშავების შედეგად, რომელიც განხორციელდა ევროკავშირის სტაბილიზაციისა და ასოცირების პროცესის მონაწილე რომელიმე ქვეყანაში; ან</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(b) საბოლოო დანიშნულების ქვეყანა არის ევროკავშირის სტაბილიზაციისა და ასოცირების პროცესის მონაწილე რომელიმე ქვეყანა, და: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 აღნიშნული პროდუქტების წარმოებისას გამოყენებული მასალები წარმოშობილია ევროკავშირში, ან</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ii. ამ პროდუქციამ მიიღო წარმოშობა იმ დამუშავებისა თუ გადამუშავების შედეგად, რომელიც განხორციელდა ევროკავშირში.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CellMar>
          <w:left w:w="15" w:type="dxa"/>
          <w:right w:w="15" w:type="dxa"/>
        </w:tblCellMar>
        <w:tblLook w:val="0000" w:firstRow="0" w:lastRow="0" w:firstColumn="0" w:lastColumn="0" w:noHBand="0" w:noVBand="0"/>
      </w:tblPr>
      <w:tblGrid>
        <w:gridCol w:w="1239"/>
        <w:gridCol w:w="8180"/>
      </w:tblGrid>
      <w:tr w:rsidR="00D74962">
        <w:trPr>
          <w:trHeight w:val="224"/>
        </w:trPr>
        <w:tc>
          <w:tcPr>
            <w:tcW w:w="1239"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xml:space="preserve">CN-Code </w:t>
            </w:r>
          </w:p>
        </w:tc>
        <w:tc>
          <w:tcPr>
            <w:tcW w:w="8180"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აღწერილობა</w:t>
            </w:r>
            <w:r>
              <w:rPr>
                <w:rFonts w:ascii="Sylfaen" w:hAnsi="Sylfaen" w:cs="Sylfaen"/>
                <w:noProof/>
                <w:sz w:val="20"/>
                <w:szCs w:val="20"/>
                <w:lang w:eastAsia="x-none"/>
              </w:rPr>
              <w:t xml:space="preserve"> </w:t>
            </w:r>
          </w:p>
        </w:tc>
      </w:tr>
      <w:tr w:rsidR="00D74962">
        <w:trPr>
          <w:trHeight w:val="211"/>
        </w:trPr>
        <w:tc>
          <w:tcPr>
            <w:tcW w:w="1239"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xml:space="preserve">1704 90 99 </w:t>
            </w:r>
          </w:p>
        </w:tc>
        <w:tc>
          <w:tcPr>
            <w:tcW w:w="8180"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სხვა შაქრიანი საკონდიტრო ნაწარმი, რომელიც არ შეიცავს კაკაოს </w:t>
            </w:r>
          </w:p>
        </w:tc>
      </w:tr>
      <w:tr w:rsidR="00D74962">
        <w:trPr>
          <w:trHeight w:val="1309"/>
        </w:trPr>
        <w:tc>
          <w:tcPr>
            <w:tcW w:w="1239"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1806 10 30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1806 10 90 </w:t>
            </w:r>
          </w:p>
        </w:tc>
        <w:tc>
          <w:tcPr>
            <w:tcW w:w="8180"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შოკოლადი და სხვა საკვები პროდუქტების მოსამზადებლები, რომელიც შეიცავს კაკაოს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კაკაოს ფხვნილი, რომელიც შეიცავს შაქრის დანამატს ან დამატკბობელს: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რომელიც შეიცავს 65% ან მეტ, მაგრამ 80%-ზე ნაკლებ საქაროზას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(საქაროზით გამოხატულ ინვერტულ შაქარს) ან საქაროზით გამოხატულ იზოგლუკოზას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რომელიც შეიცავს 80% ან მეტ საქაროზას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(საქაროზით გამოხატულ ინვერტულ შაქარს) ან საქაროზით გამოხატულ იზოგლუკოზას </w:t>
            </w:r>
          </w:p>
        </w:tc>
      </w:tr>
      <w:tr w:rsidR="00D74962">
        <w:trPr>
          <w:trHeight w:val="149"/>
        </w:trPr>
        <w:tc>
          <w:tcPr>
            <w:tcW w:w="1239"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1806 20 95 </w:t>
            </w:r>
          </w:p>
        </w:tc>
        <w:tc>
          <w:tcPr>
            <w:tcW w:w="8180"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საკვები პროდუქტების მოსამზადებლები, რომლებიც შეიცავს კაკაოს ფერის, ნაჭრებისა და ფილების სახით და იწონის 2 კგ.-ზე მეტს ან სითხის, ფხვნილის, გრანულების ან სხვა ფორმით კონტეინერში ან ისეთი პაკეტის შეფუთვით, რომელიც აღემატება 2კგ.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 </w:t>
      </w:r>
    </w:p>
    <w:tbl>
      <w:tblPr>
        <w:tblW w:w="0" w:type="auto"/>
        <w:tblInd w:w="-8" w:type="dxa"/>
        <w:tblLayout w:type="fixed"/>
        <w:tblCellMar>
          <w:left w:w="15" w:type="dxa"/>
          <w:right w:w="15" w:type="dxa"/>
        </w:tblCellMar>
        <w:tblLook w:val="0000" w:firstRow="0" w:lastRow="0" w:firstColumn="0" w:lastColumn="0" w:noHBand="0" w:noVBand="0"/>
      </w:tblPr>
      <w:tblGrid>
        <w:gridCol w:w="1237"/>
        <w:gridCol w:w="8167"/>
      </w:tblGrid>
      <w:tr w:rsidR="00D74962">
        <w:trPr>
          <w:trHeight w:val="246"/>
        </w:trPr>
        <w:tc>
          <w:tcPr>
            <w:tcW w:w="123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xml:space="preserve">CN-Code </w:t>
            </w:r>
          </w:p>
        </w:tc>
        <w:tc>
          <w:tcPr>
            <w:tcW w:w="816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აღწერილობა</w:t>
            </w:r>
            <w:r>
              <w:rPr>
                <w:rFonts w:ascii="Sylfaen" w:hAnsi="Sylfaen" w:cs="Sylfaen"/>
                <w:noProof/>
                <w:sz w:val="20"/>
                <w:szCs w:val="20"/>
                <w:lang w:eastAsia="x-none"/>
              </w:rPr>
              <w:t xml:space="preserve"> </w:t>
            </w:r>
          </w:p>
        </w:tc>
      </w:tr>
      <w:tr w:rsidR="00D74962">
        <w:trPr>
          <w:trHeight w:val="2810"/>
        </w:trPr>
        <w:tc>
          <w:tcPr>
            <w:tcW w:w="123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lastRenderedPageBreak/>
              <w:t xml:space="preserve">1901 90 99 </w:t>
            </w:r>
          </w:p>
        </w:tc>
        <w:tc>
          <w:tcPr>
            <w:tcW w:w="816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ქერის ექსტრაქტი, საკვების მოსამზადებლები, როგორიცაა ფქვილი, ბურღულეული, სახამებელი ან ქერის ექსტრაქტი, რომელიც არ შეიცავს კაკაოს ან შეიცავს 40%-ზე ნაკლები რაოდენობით, რომელიც გამოითვლება სრულიად ცხიმგამოცლილი საკვების მოსამზადებლის საფუძველზე, რომელიც არსად არ ფიქსირდება და მას არაფერი არ შეიცავს, საკვების მოსამზადებელი იმ საქონლისთვის, რომელიც მოქცეულია 0401-0404 სექციების ქვეშ და არ შეიცავს კაკაოს ან შეიცავს 40%-ზე ნაკლები რაოდენობით, რომელიც გამოითვლება სრულიად ცხიმგამოცლილი საკვების მოსამზადებლის საფუძველზე, რომელიც არსად არ ფიქსირდება და მას არაფერი არ შეიცავს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(ვიდრე ქერის ექსტრაქტი)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tc>
      </w:tr>
      <w:tr w:rsidR="00D74962">
        <w:trPr>
          <w:trHeight w:val="246"/>
        </w:trPr>
        <w:tc>
          <w:tcPr>
            <w:tcW w:w="123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2101 12 98 </w:t>
            </w:r>
          </w:p>
        </w:tc>
        <w:tc>
          <w:tcPr>
            <w:tcW w:w="816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სხვა მოსამზადებლები ყავის ბაზისით </w:t>
            </w:r>
          </w:p>
        </w:tc>
      </w:tr>
      <w:tr w:rsidR="00D74962">
        <w:trPr>
          <w:trHeight w:val="173"/>
        </w:trPr>
        <w:tc>
          <w:tcPr>
            <w:tcW w:w="123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2101 20 98 </w:t>
            </w:r>
          </w:p>
        </w:tc>
        <w:tc>
          <w:tcPr>
            <w:tcW w:w="816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სხვა მოსამზადებლები ჩაის ან კოფეინიანი სასმელის ბაზისით </w:t>
            </w:r>
          </w:p>
        </w:tc>
      </w:tr>
      <w:tr w:rsidR="00D74962">
        <w:trPr>
          <w:trHeight w:val="173"/>
        </w:trPr>
        <w:tc>
          <w:tcPr>
            <w:tcW w:w="123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2106 90 59 </w:t>
            </w:r>
          </w:p>
        </w:tc>
        <w:tc>
          <w:tcPr>
            <w:tcW w:w="816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საკვების მოსამზადებელი, რომელიც არსად არ ფიქსირდება და მას არაფერი არ შეიცავს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tc>
      </w:tr>
      <w:tr w:rsidR="00D74962">
        <w:trPr>
          <w:trHeight w:val="173"/>
        </w:trPr>
        <w:tc>
          <w:tcPr>
            <w:tcW w:w="123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2106 90 98 </w:t>
            </w:r>
          </w:p>
        </w:tc>
        <w:tc>
          <w:tcPr>
            <w:tcW w:w="816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საკვების მოსამზადებელი, რომელიც არსად არ ფიქსირდება და მას არაფერი არ შეიცავს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(ვიდრე პროტეინის კონცენტრატები და ტექსტურირებული ცილოვანი ნივთიერებები)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r>
        <w:rPr>
          <w:rFonts w:ascii="Sylfaen" w:hAnsi="Sylfaen" w:cs="Sylfaen"/>
          <w:noProof/>
          <w:sz w:val="24"/>
          <w:szCs w:val="24"/>
          <w:lang w:eastAsia="x-none"/>
        </w:rPr>
        <w:t> </w:t>
      </w:r>
    </w:p>
    <w:tbl>
      <w:tblPr>
        <w:tblW w:w="0" w:type="auto"/>
        <w:tblInd w:w="-8" w:type="dxa"/>
        <w:tblLayout w:type="fixed"/>
        <w:tblCellMar>
          <w:left w:w="15" w:type="dxa"/>
          <w:right w:w="15" w:type="dxa"/>
        </w:tblCellMar>
        <w:tblLook w:val="0000" w:firstRow="0" w:lastRow="0" w:firstColumn="0" w:lastColumn="0" w:noHBand="0" w:noVBand="0"/>
      </w:tblPr>
      <w:tblGrid>
        <w:gridCol w:w="1303"/>
        <w:gridCol w:w="8162"/>
      </w:tblGrid>
      <w:tr w:rsidR="00D74962">
        <w:tc>
          <w:tcPr>
            <w:tcW w:w="1303"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xml:space="preserve">CN-Code </w:t>
            </w:r>
          </w:p>
        </w:tc>
        <w:tc>
          <w:tcPr>
            <w:tcW w:w="816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აღწერილობა</w:t>
            </w:r>
            <w:r>
              <w:rPr>
                <w:rFonts w:ascii="Sylfaen" w:hAnsi="Sylfaen" w:cs="Sylfaen"/>
                <w:noProof/>
                <w:sz w:val="20"/>
                <w:szCs w:val="20"/>
                <w:lang w:eastAsia="x-none"/>
              </w:rPr>
              <w:t xml:space="preserve"> </w:t>
            </w:r>
          </w:p>
        </w:tc>
      </w:tr>
      <w:tr w:rsidR="00D74962">
        <w:tc>
          <w:tcPr>
            <w:tcW w:w="1303"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xml:space="preserve">3302 10 29 </w:t>
            </w:r>
          </w:p>
        </w:tc>
        <w:tc>
          <w:tcPr>
            <w:tcW w:w="816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სურნელოვანი ნივთიერებებისა და ნარევების მიქსტურა (ალკოჰოლური ნაზავების ჩათვლით) ერთი ან მეტი აღნიშნული ნივთიერერების ბაზისით, რომელიც გამოიყენება როგორც ნედლეული მრეწველობაში; სხვა მოსამზადებლები სურნელოვან ნივთიერებებზე დაყრდნობით, რომლებიც გამოიყენება სასმლის წარმოებისას: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გამოიყენება საკვების ან სასმლის მრეწველობაში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გამოიყენება სასმლის მრეწველობაში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მოსამზადებლები, რომლებიც მოიცავს ყველანაირ სურნელოვან ნივთიერებას და ხასიათდება, როგორც სასმელი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რეალურად ალკოჰოლური სიძლიერის მქონე სასმელი – 0.5%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არ შეიცავს რძის ცხიმს, საქაროზას, იზოგლუკოზას, გლუკოზას, სახამებელს ან შეიცავს 1.5%-ზე ნაკლებ რძის ცხიმს, 5%-ზე ნაკლებ საქაროზას ან იზოგლუკოზას, 5%-ზე ნაკლებ გლუკოზას ან სახამებელს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II</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ვაჭრობა ევროკავშირსა და ალჟირის სახალხო</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დემოკრატიულ რესპუბლიკას შორის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პროდუქცია, რომელმაც მიიღო წარმოშობა წინამდებარე დანართით გათვალისწინებული დებულებების გამოყენების შედეგად, გათავისუფლდება კუმულაციისგან, როგორც ეს განსაზღვრულია I დანართის მე-3 მუხლით.</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კუმულაცია ევროკავშირში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I </w:t>
      </w:r>
      <w:r>
        <w:rPr>
          <w:rFonts w:ascii="Sylfaen" w:eastAsia="Times New Roman" w:hAnsi="Sylfaen" w:cs="Sylfaen"/>
          <w:noProof/>
          <w:sz w:val="24"/>
          <w:szCs w:val="24"/>
          <w:lang w:eastAsia="x-none"/>
        </w:rPr>
        <w:t>დანართის 2(1)(b) მუხლის დებულებების იმპლემენტაციის მიზნებისთვის, დამუშავება-გადამუშავების პროცესი, რომელიც ხორციელდება ალჟირში, მაროკოში, ან ტუნისში, ჩაითვლება ევროკავშირში განხორციელებულად, როდესაც მიღებული პროდუქცია გადის შემდგომ დამუშავებას ან გადამუშავებას ევროკავშირში. როდესაც, წინამდებარე დებულების შესაბამისად, წარმოშობილი პროდუქცია მიღებულია შესაბამის ორ ან მეტ ქვეყანაში, იგი ჩაითვლება ევროკავშირში წარმოშობილად მხოლოდ იმ შემთხვევაში, თუ დამუშავება-გადამუშავების პროცესი აღემატება I დანართის მე-6 მუხლით გათვალისწინებულს.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კუმულაცია ალჟირში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I </w:t>
      </w:r>
      <w:r>
        <w:rPr>
          <w:rFonts w:ascii="Sylfaen" w:eastAsia="Times New Roman" w:hAnsi="Sylfaen" w:cs="Sylfaen"/>
          <w:noProof/>
          <w:sz w:val="24"/>
          <w:szCs w:val="24"/>
          <w:lang w:eastAsia="x-none"/>
        </w:rPr>
        <w:t>დანართის 2(1)(b) მუხლის დებულებების იმპლემენტაციის მიზნებისთვის, დამუშავება-გადამუშავების პროცესი, რომელიც ხორციელდება ევროკავშირში, მაროკოში, ან ტუნისში, ჩაითვლება ალჟირში განხორციელებულად, როდესაც მიღებული პროდუქცია გადის შემდგომ დამუშავებას ან გადამუშავებას ალჟირში. როდესაც, წინამდებარე დებულების შესაბამისად, წარმოშობილი პროდუქცია მიღებულია შესაბამის ორ ან მეტ ქვეყანაში, იგი ჩაითვლება ალჟირში წარმოშობილად მხოლოდ იმ შემთხვევაში, თუ დამუშავება-გადამუშავების პროცესი აღემატება I დანართის მე-6 მუხლით გათვალისწინებულს.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წარმოშობის სერთიფიკატი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I </w:t>
      </w:r>
      <w:r>
        <w:rPr>
          <w:rFonts w:ascii="Sylfaen" w:eastAsia="Times New Roman" w:hAnsi="Sylfaen" w:cs="Sylfaen"/>
          <w:noProof/>
          <w:sz w:val="24"/>
          <w:szCs w:val="24"/>
          <w:lang w:eastAsia="x-none"/>
        </w:rPr>
        <w:t xml:space="preserve">დანართის 16(4) და (5) მუხლისთვის ზიანის მიყენების გარეშე, EUR.1 გადაადგილების სერთიფიკატი გაიცემა ევროკავშირის წევრი სახელმწიფოს ან ალჟირის საბაჟო უწყების მიერ, თუ პროდუქტი ჩაითვლება წარმოშობილად ევროკავშირში ან ალჟირში, კუმულაციის გამოყენებით, რომელიც გათვალისწინებულია წინამდებარე დანართის მე-2 და მე-3 მუხლებით და თუ ისინი ასრულებენ I დამატებით დადგენილ სხვა მოთხოვნებს.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I დანართის 21(2) და (3) მუხლისთვის ზიანის მიყენების გარეშე, წარმოშობის დეკლარაცია შედგენილ იქნება, თუ შესაბამისი პროდუქცია ჩაითვლება წარმოშობილად ევროკავშირში ან ალჟირში, კუმულაციის გამოყენებით, რომელიც გათვალისწინებულია წინამდებარე დანართის მე-2 და მე-3 მუხლებით თუ ისინი ასრულებენ I დამატებით დადგენილ სხვა მოთხოვნებს.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როდესაც გაიცემა EUR.1 გადაადგილების სერთიფიკატი ან შედგება წარმოშობის დეკლარაცია ევროკავშირში ან ალჟირში წარმოშობის პროდუქციისთვის, რომელთა წარმოებისას საქონელი მოდის ალჟირიდან, მაროკოდან, ტუნისიდან ან ევროკავშირიდან, რომელთაც გაიარეს დამუშავება-გადამუშავების პროცედურები ამ ქვეყნებში პრეფერენციული წარმოშობის სტატუსის მოპოვების გარეშე, ყურადღება უნდა გამახვილდეს მიმწოდებლის დეკლარაციაზე, რომელიც გაიცა ამ საქონლისთვის წინამდებარე მუხლის შესაბამისად.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პირველ პუნქტში მოხსენიებული მიმწოდებლის დეკლარაცია მიიჩნევა დამუშავება-გადამუშავების პროცესის დამადასტურებელ დოკუმენტად, რომელიც განხორციელდა ალჟირში, მაროკოში, ტუნისში ან ევროკავშირში შესაბამისი საქონლის მიმართ იმის განსასაზღვრად, რომ პროდუქცია, რომლის საწარმოებლადაც გამოიყენება ეს საქონელი, შესაძლოა ჩაითვალოს წარმოშობილად ევროკავშირში ან ალჟირში და შეასრულოს I დამატებით დადგენილი სხვა მოთხოვნები.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ცალკე მიმწოდებლის დეკლარაცია, გარდა მე-4 პუნქტით განსაზღვრული შემთხვევებისა, შედგენილ იქნება მიმწოდებლის მიერ თითოეული პარტიისთვის A დანართში გაწერილი ფორმის შესაბამისად, ფურცელზე, რომელიც თან ერთვის ანგარიშფაქტურას, მიწოდების შესახებ შეტყობინებას ან ნებისმიერ სხვა კომერციულ დოკუმენტს, რომელიც მოიცავს შესაბამისი საქონლის აღწერილობას საკმარისად დეტალურად მათი იდენტიფიცირების მიზნით.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როდესაც მიმწოდებელი რეგულარულად უზრუნველყოფს კონკრეტულ მომხმარებელს საქონლით, რომლის მიმართაც არსებობს მოლოდინი, რომ ალჟირში, მაროკოში, ტუნისში ან ევროკავშირში განხორციელებული დამუშავება-გადამუშავების პროცესი გაგრძელდება გარკეული პერიოდის განმავლობაში, მიმწოდებელს შეუძლია წარმოადგინოს ერთიანი მიმწოდებლის დეკლარაცია, რათა მოიცვას ამ საქონლის შემდგომი პარტიები (შემდგომში წოდებული, როგორც „მიმწოდებლის გრძელვადიანი დეკლარაცია“).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მიმწოდებლის გრძელვადიანი დეკლარაცია შესაძლოა ჩვეულებრივ მოქმედებდეს დეკლარაციის შედგენიდან ერთ წლამდე პერიოდის განმავლობაში. იმ ქვეყნის საბაჟო უწყება, რომელშიც მოხდა დეკლარაციის შედგენა, განსაზღვრავს მისი მეტი ხნით გაგრძელების პირობებს.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გრძელვადიანი დეკლარაცია შესაძლოა შედგენილ იქნეს B დანართით გაწერილი ფორმის შესაბამისად და აღწერს შესაბამის საქონელს საკმარისად დეტალურად მათი იდენტიფიცირების მიზნით. დეკლარაცია მიეწოდება შესაბამის მომხმარებელს სანამ მას მიეწოდება ამ დეკლარაციით მოცული ტვირთის პირველი პარტია ან მის პირველ პარტიასთან ერთად.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მიმწოდებელი თავის მომხმარებელს დაუყოვნებლივ შეატყობინებს, თუ მიმწოდებლის გრძელვადიანი დეკლარაცია აღარ გამოიყენება მიწოდებული საქონლის მიმართ.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მე-3 და მე-4 პუნქტებში ნახსენები მიმწოდებლის დეკლარაციები დაიბეჭდება შეთანხმების ერთ-ერთ ენაზე, იმ ქვეყნის შიდა სამართლის შესაბამისად, სადაც იქნა დეკლარაცია შედგენილი და თან დაერთვება მიმწოდებლის ხელმოწერა. დეკლარაცია ასევე შესაძლოა შეივსოს ხელით; ამ შემთხვევაში, იგი შეივსება მელნით ან ბეჭდური ფორმით.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მიმწოდებელი, რომელიც ადგენს დეკლარაციას, მზად უნდა იყოს, ნებისმიერ დროს, იმ ქვეყნის საბაჟოს უწყების მოთხოვნით, სადაც შედგა დეკლარაცია, რომ წარადგინოს ყველა აუცილებელი დოკუმენტი, რომელიც დაადასტურებს მოცემულ დეკლარაციაში აღწერილი ინფორმაციის სისწორეს.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თანმხლები დოკუმენტაცია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დეკლარაციები, რომლებიც ადასტურებენ დამუშავება-გადამუშავების პროცედურებს, რომელიც განხორციელდა ევროკავშირში, ალჟირში, მაროკოში ან ტუნისში იმ მასალებით, რომლებიც გამოიყენება, შედგება ერთ-ერთ ამ ქვეყანაში, უნდა აღიქმებოდეს, როგორც I დანართის 16(3) და 21(5) მუხლებით და წინამდებარე დანართის 5(6) მუხლით გათვალისწინებული დოკუმენტი, რომელიც გამოიყენება იმის დასადასტურებლად, რომ EUR.1 გადაადგილების სერთიფიკატით ან წარმოშობის დეკლარაციით მოცული პროდუქცია შესაძლოა ჩაითვალოს ევროკავშირში ან ალჟირში წარმოშობილ პროდუქციად და შეასრულებს I დამატებით გათვალისწინებული მოთხოვნები.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დეკლარაციების შენახვა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რომელიც ადგენს მიმწოდებლის დეკლარაციას, სულ ცოტა სამი წლის განმავლობაში შეინახავს დეკლააციისა და ყველა სხვა ანგარიშფაქტურის, მიწოდების შესახებ შეტყობინებისა თუ სხვა კომერციული დოკუმენტების ასლებს, რომელთაც ერთვის აღნიშნული დეკლარაცია და ასევე 5(6) მუხლით გათვალისწინებული დოკუმენტაცია.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რომელიც ადგენს გრძელვადიან მიმწოდებლის დეკლარაციას, სულ ცოტა სამი წლის განმავლობაში შეინახავს დეკლარაციისა და ყველა სხვა ანგარიშფაქტურის, მიწოდების შესახებ შეტყობინებისა თუ სხვა კომერციული დოკუმენტების ასლებს, რომლებიც ეხება ამ დეკლარაციით მოცულ საქონელს, რომელიც გადაეგზავნა შესაბამის მომხმარებელს, ასევე 5(6) მუხლით გათვალისწინებული დოკუმენტაცია. აღნიშნული პერიოდის ათვლა დაიწყება მიმწოდებლის გრძელვადიანი დეკლარაციის ვადის გასვლის თარიღიდან.</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ადმინისტრაციული თანამშრომლობა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წინამდებარე დანართის სათანადოდ გამოყენების უზრუნველყოფის მიზნით, ევროკავშირი და ალჟირი დახმარებას გაუწევენ ერთმანეთს, კომპეტენტური საბაჟო უწყებების მეშვეობით, EUR.1 გადაადგილების სერტიფიკატის, წარმოშობის დეკლარაციების ან მიმწოდებლის დეკლარაციების ნამდვილობის და ამ დოკუმენტებში მოცემული ინფორმაციის სისწორის შემოწმებაში.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დეკლარაციების შემოწმება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მიმწოდებლის დეკლარაციების ან მიმწოდებლის გრძელვადიანი დეკლარაციების შემდგომი შემოწმება განხორციელდება არასისტემურად ან მაშინ, როდესაც იმ ქვეყნის საბაჟო უწყებას, სადაც ამგვარი დეკლარაციების მიერ გათვალისწინებულ იქნა EUR.1 გადაადგილების სერტიფიკატის გაცემა ან წარმოშობის დეკლარაციის შედგენა, გაუჩნდება გონივრული საფუძველი, ეჭვი შეიტანოს დოკუმენტების ნამდვილობაში ან აღნიშნული დოკუმენტით წარმოდგენილი ინფორმაციის სისწორეში.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პირველი პუნქტის დებულებების შესრულების მიზნით, პირველ პუნქტში ხსენებული ქვეყნის საბაჟო უწყება მიმწოდებლის დეკლარაციებს ან მიმწოდებლის გრძელვადიან დეკლარაციებს და ანგარიშფაქტურას, მიწოდების შესახებ შეტყობინებას ან სხვა კომერციულ დოკუმენტაციას, რომელიც ეხება ამ დეკლარაციით მოცულ საქონელს, დაუბრუნებს იმ ქვეყნის საბაჟო უწყება, სადაც შედგენილ იქნა დეკლარაცია, და, საჭიროების შემთხვევაში, წარადგენს შემოწმების მოთხოვნის არსისა თუ ფორმის საფუძვლებს.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შემდგომი შემოწმების მოთხოვნის გასამყარებლად, ისინი ასევე გადააგზავნიან ნებისმიერ დოკუმენტაციასა თუ ინფორმაციას, რომელიც მოპოვებულ იქნა და ადასტურებს მიმწოდებლის დეკლარაციასა თუ მიმწოდებლის გრძლევადიან დეკლარაციაში მოცემული ინფორმაციის სისწორეს.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შემოწმება ჩატარდება იმ ქვეყნის საბაჟო უწყების მიერ, სადაც შედგენილ იქნა მიმწოდებლის დეკლარაცია ან მიმწოდებლის გრძლევადიანი დეკლარაცია. ამისათვის, მათ ექნებათ ნებისმიერი მტკიცებულების მოთხოვნის და მიმწოდებლების ანგარიშების ნებისმიერი ინსპექციის (და ყველა სხვა აუცილებელი შემოწმების) ჩატარების უფლება.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შემოწმების მომთხოვნ საბაჟო უწყებას სასწრაფოდ მიეწოდება აღნიშნული შემოწმების შედეგები. ამ შედეგებში მკაფიოდ უნდა იყოს მოცემული არის თუ არა სწორი მიმწოდებლის დეკლარაციაში ან მიმწოდებლის გრძლევადიან დეკლარაციაში მოცემული ინფორმაცია. აღნიშნულმა შედეგებმა შესაძლებელი უნდა გახადოს, განსაზღვრონ უნდა იქნეს თუ არა და რა დოზით უნდა იქნეს გათვალისწინებული </w:t>
      </w:r>
      <w:r>
        <w:rPr>
          <w:rFonts w:ascii="Sylfaen" w:eastAsia="Times New Roman" w:hAnsi="Sylfaen" w:cs="Sylfaen"/>
          <w:noProof/>
          <w:sz w:val="24"/>
          <w:szCs w:val="24"/>
          <w:lang w:eastAsia="x-none"/>
        </w:rPr>
        <w:lastRenderedPageBreak/>
        <w:t>ამგვარი დეკლარაცია EUR.1 გადაადგილების სერთიფიკატის გაცემისთვის ან წარმოშობის დეკლარაციის შესადგენად.</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b/>
          <w:bCs/>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სანქციები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ჯარიმები შესაძლოა დაეკისროს ნებისმიერ პირს, რომელიც ადგენს დოკუმენტს, რომელიც მოიცავს არასწორ ინფორმაციას პროდუქციის მიმართ პრეფერენციული მოპყრობის მიღების მიზნებისთვის.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თავისუფალი ზონები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ევროკავშირი და ალჟირი მიიღებენ ყველა აუცილებელ ზომას იმის უზრუნველსაყოფად, რომ წარმოშობის სერტიფიკატის მქონე ის სავაჭრო პროდუქცია, რომელიც ტრანსპორტირებისას გამოიყენებს მათ ტერიტორიებზე არსებულ თავისუფალ ზონებს, არ იყოს ჩანაცვლებული სხვა საქონლით და არ დაექვემდებაროს რაიმე ქმედებებს გარდა ჩვეულებრივი ოპერაციებისა, რომლებიც გამიზნულია მათი გაფუჭებისგან დასაცავად.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ამ მუხლის პირველი პუნქტის დებულებებისგან გადახვევის საფუძველზე, როდესაც ევროკავშირის და ალჟირის ტერიტორიაზე წარმოშობილი წარმოშობის სერტიფიკატის მქონე პროდუქცია იმპორტირებულია თავისუფალ ზონაში და განიცდის დამუშავება-გადამუშავებას, შესაბამისმა ხელისუფლებამ უნდა გასცეს ახალი EUR.1 გადაადგილების სერტიფიკატი ექსპორტიორის თხოვნით, თუ ზემოხსენებული დამუშავება-გადამუშავება შეესაბამება წინამდებარე კონვენციის დებულებებს.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დანართი III</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ვაჭრობა ევროკავშირსა და მაროკოს სამეფოს შორის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პროდუქცია, რომელმაც მიიღო წარმოშობა წინამდებარე დანართით გათვალისწინებული დებულებების გამოყენების შედეგად, გათავისუფლდება კუმულაციისგან, როგორც ეს განსაზღვრულია I დანართის მე-3 მუხლით.</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კუმულაცია ევროკავშირში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I </w:t>
      </w:r>
      <w:r>
        <w:rPr>
          <w:rFonts w:ascii="Sylfaen" w:eastAsia="Times New Roman" w:hAnsi="Sylfaen" w:cs="Sylfaen"/>
          <w:noProof/>
          <w:sz w:val="24"/>
          <w:szCs w:val="24"/>
          <w:lang w:eastAsia="x-none"/>
        </w:rPr>
        <w:t xml:space="preserve">დანართის 2(1)(b) მუხლის დებულებების იმპლემენტაციის მიზნებისთვის, დამუშავება-გადამუშავების პროცესი, რომელიც ხორციელდება ალჟირში, მაროკოში, ან ტუნისში, ჩაითვლება ევროკავშირში განხორციელებულად, როდესაც მიღებული </w:t>
      </w:r>
      <w:r>
        <w:rPr>
          <w:rFonts w:ascii="Sylfaen" w:eastAsia="Times New Roman" w:hAnsi="Sylfaen" w:cs="Sylfaen"/>
          <w:noProof/>
          <w:sz w:val="24"/>
          <w:szCs w:val="24"/>
          <w:lang w:eastAsia="x-none"/>
        </w:rPr>
        <w:lastRenderedPageBreak/>
        <w:t>პროდუქცია გადის შემდგომ დამუშავებას ან გადამუშავებას ევროკავშირში. როდესაც, წინამდებარე დებულების შესაბამისად, წარმოშობილი პროდუქცია მიღებულია შესაბამის ორ ან მეტ ქვეყანაში, იგი ჩაითვლება ევროკავშირში წარმოშობილად მხოლოდ იმ შემთხვევაში, თუ დამუშავება-გადამუშავების პროცესი აღემატება I დანართის მე-6 მუხლით გათვალისწინებულს.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კუმულაცია მაროკოში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I </w:t>
      </w:r>
      <w:r>
        <w:rPr>
          <w:rFonts w:ascii="Sylfaen" w:eastAsia="Times New Roman" w:hAnsi="Sylfaen" w:cs="Sylfaen"/>
          <w:noProof/>
          <w:sz w:val="24"/>
          <w:szCs w:val="24"/>
          <w:lang w:eastAsia="x-none"/>
        </w:rPr>
        <w:t>დანართის 2(1)(b) მუხლის დებულებების იმპლემენტაციის მიზნებისთვის, დამუშავება-გადამუშავების პროცესი, რომელიც ხორციელდება ევროკავშირში, ალჟირში, ან ტუნისში, ჩაითვლება მაროკოში განხორციელებულად, როდესაც მიღებული პროდუქცია გადის შემდგომ დამუშავებას ან გადამუშავებას მაროკოში. როდესაც, წინამდებარე დებულების შესაბამისად, წარმოშობილი პროდუქცია მიღებულია შესაბამის ორ ან მეტ ქვეყანაში, იგი ჩაითვლება მაროკოში წარმოშობილად მხოლოდ იმ შემთხვევაში, თუ დამუშავება-გადამუშავების პროცესი აღემატება I დანართის მე-6 მუხლით გათვალისწინებულს.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წარმოშობის სერთიფიკატი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I </w:t>
      </w:r>
      <w:r>
        <w:rPr>
          <w:rFonts w:ascii="Sylfaen" w:eastAsia="Times New Roman" w:hAnsi="Sylfaen" w:cs="Sylfaen"/>
          <w:noProof/>
          <w:sz w:val="24"/>
          <w:szCs w:val="24"/>
          <w:lang w:eastAsia="x-none"/>
        </w:rPr>
        <w:t xml:space="preserve">დანართის 16(4) და (5) მუხლისთვის ზიანის მიყენების გარეშე, EUR.1 გადაადგილების სერთიფიკატი გაიცემა ევროკავშირის წევრი სახელმწიფოს ან მაროკოს საბაჟო უწყების მიერ, თუ პროდუქტი ჩაითვლება წარმოშობილად ევროკავშირში ან მაროკოში, კუმულაციის გამოყენებით, რომელიც გათვალისწინებულია წინამდებარე დანართის მე-2 და მე-3 მუხლებით და თუ ისინი ასრულებენ I დამატებით დადგენილ სხვა მოთხოვნებს.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I დანართის 21(2) და (3) მუხლისთვის ზიანის მიყენების გარეშე, წარმოშობის დეკლარაცია შედგენილ იქნება, თუ შესაბამისი პროდუქცია ჩაითვლება წარმოშობილად ევროკავშირში ან მაროკოში, კუმულაციის გამოყენებით, რომელიც გათვალისწინებულია წინამდებარე დანართის მე-2 და მე-3 მუხლებით თუ ისინი ასრულებენ I დამატებით დადგენილ სხვა მოთხოვნებს.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7. </w:t>
      </w:r>
      <w:r>
        <w:rPr>
          <w:rFonts w:ascii="Sylfaen" w:eastAsia="Times New Roman" w:hAnsi="Sylfaen" w:cs="Sylfaen"/>
          <w:noProof/>
          <w:sz w:val="24"/>
          <w:szCs w:val="24"/>
          <w:lang w:eastAsia="x-none"/>
        </w:rPr>
        <w:t xml:space="preserve">როდესაც გაიცემა EUR.1 გადაადგილების სერთიფიკატი ან შედგება წარმოშობის დეკლარაცია ევროკავშირში ან მაროკოში წარმოშობის პროდუქციისთვის, რომელთა წარმოებისას საქონელი მოდის ალჟირიდან, მაროკოდან, ტუნისიდან ან ევროკავშირიდან, რომელთაც გაიარეს დამუშავება-გადამუშავების პროცედურები ამ ქვეყნებში პრეფერენციული წარმოშობის სტატუსის მოპოვების გარეშე, ყურადღება </w:t>
      </w:r>
      <w:r>
        <w:rPr>
          <w:rFonts w:ascii="Sylfaen" w:eastAsia="Times New Roman" w:hAnsi="Sylfaen" w:cs="Sylfaen"/>
          <w:noProof/>
          <w:sz w:val="24"/>
          <w:szCs w:val="24"/>
          <w:lang w:eastAsia="x-none"/>
        </w:rPr>
        <w:lastRenderedPageBreak/>
        <w:t>უნდა გამახვილდეს მიმწოდებლის დეკლარაციაზე, რომელიც გაიცა ამ საქონლისთვის წინამდებარე მუხლის შესაბამისად.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8. პირველ პუნქტში მოხსენიებული მიმწოდებლის დეკლარაცია მიიჩნევა დამუშავება-გადამუშავების პროცესის დამადასტურებელ დოკუმენტად, რომელიც განხორციელდა ალჟირში, მაროკოში, ტუნისში ან ევროკავშირში შესაბამისი საქონლის მიმართ იმის განსასაზღვრად, რომ პროდუქცია, რომლის საწარმოებლადაც გამოიყენება ეს საქონელი, შესაძლოა ჩაითვალოს წარმოშობილად ევროკავშირში ან მაროკოში და შეასრულოს I დამატებით დადგენილი სხვა მოთხოვნები.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9. ცალკე მიმწოდებლის დეკლარაცია, გარდა მე-4 პუნქტით განსაზღვრული შემთხვევებისა, შედგენილ იქნება მიმწოდებლის მიერ თითოეული პარტიისთვის A დანართში გაწერილი ფორმის შესაბამისად, ფურცელზე, რომელიც თან ერთვის ანგარიშფაქტურას, მიწოდების შესახებ შეტყობინებას ან ნებისმიერ სხვა კომერციულ დოკუმენტს, რომელიც მოიცავს შესაბამისი საქონლის აღწერილობას საკმარისად დეტალურად მათი იდენტიფიცირების მიზნით.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10. როდესაც მიმწოდებელი რეგულარულად უზრუნველყოფს კონკრეტულ მომხმარებელს საქონლით, რომლის მიმართაც არსებობს მოლოდინი, რომ ალჟირში, მაროკოში, ტუნისში ან ევროკავშირში განხორციელებული დამუშავება-გადამუშავების პროცესი გაგრძელდება გარკეული პერიოდის განმავლობაში, მიმწოდებელს შეუძლია წარმოადგინოს ერთიანი მიმწოდებლის დეკლარაცია, რათა მოიცვას ამ საქონლის შემდგომი პარტიები (შემდგომში წოდებული, როგორც „მიმწოდებლის გრძელვადიანი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მიმწოდებლის გრძელვადიანი დეკლარაცია შესაძლოა ჩვეულებრივ მოქმედებდეს დეკლარაციის შედგენიდან ერთ წლამდე პერიოდის განმავლობაში. იმ ქვეყნის საბაჟო უწყება, რომელშიც მოხდა დეკლარაციის შედგენა, განსაზღვრავს მისი მეტი ხნით გაგრძელების პირობებს.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გრძელვადიანი დეკლარაცია შესაძლოა შედგენილ იქნეს B დანართით გაწერილი ფორმის შესაბამისად და აღწერს შესაბამის საქონელს საკმარისად დეტალურად მათი იდენტიფიცირების მიზნით. დეკლარაცია მიეწოდება შესაბამის მომხმარებელს სანამ მას მიეწოდება ამ დეკლარაციით მოცული ტვირთის პირველი პარტია ან მის პირველ პარტიასთან ერთად.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თავის მომხმარებელს დაუყოვნებლივ შეატყობინებს, თუ მიმწოდებლის გრძელვადიანი დეკლარაცია აღარ გამოიყენება მიწოდებული საქონლის მიმართ.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11. მე-3 და მე-4 პუნქტებში ნახსენები მიმწოდებლის დეკლარაციები დაიბეჭდება შეთანხმების ერთ-ერთ ენაზე, იმ ქვეყნის შიდა სამართლის შესაბამისად, სადაც იქნა დეკლარაცია შედგენილი და თან დაერთვება მიმწოდებლის ხელმოწერა. დეკლარაცია ასევე შესაძლოა შეივსოს ხელით; ამ შემთხვევაში, იგი შეივსება მელნით ან ბეჭდური ფორმით.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1. მიმწოდებელი, რომელიც ადგენს დეკლარაციას, მზად უნდა იყოს, ნებისმიერ დროს, იმ ქვეყნის საბაჟოს უწყების მოთხოვნით, სადაც შედგა დეკლარაცია, რომ წარადგინოს ყველა აუცილებელი დოკუმენტი, რომელიც დაადასტურებს მოცემულ დეკლარაციაში აღწერილი ინფორმაციის სისწორეს.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თანმხლები დოკუმენტაცია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დეკლარაციები, რომლებიც ადასტურებენ დამუშავება-გადამუშავების პროცედურებს, რომელიც განხორციელდა ევროკავშირში, ალჟირში, მაროკოში ან ტუნისში იმ მასალებით, რომლებიც გამოიყენება, შედგება ერთ-ერთ ამ ქვეყანაში, უნდა აღიქმებოდეს, როგორც I დანართის 16(3) და 21(5) მუხლებით და წინამდებარე დანართის 5(6) მუხლით გათვალისწინებული დოკუმენტი, რომელიც გამოიყენება იმის დასადასტურებლად, რომ EUR.1 გადაადგილების სერთიფიკატით ან წარმოშობის დეკლარაციით მოცული პროდუქცია შესაძლოა ჩაითვალოს ევროკავშირში ან მაროკოში წარმოშობილ პროდუქციად და შეასრულებს I დამატებით გათვალისწინებული მოთხოვნები.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დეკლარაციების შენახვა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რომელიც ადგენს მიმწოდებლის დეკლარაციას, სულ ცოტა სამი წლის განმავლობაში შეინახავს დეკლააციისა და ყველა სხვა ანგარიშფაქტურის, მიწოდების შესახებ შეტყობინებისა თუ სხვა კომერციული დოკუმენტების ასლებს, რომელთაც ერთვის აღნიშნული დეკლარაცია და ასევე 5(6) მუხლით გათვალისწინებული დოკუმენტაცია.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რომელიც ადგენს გრძელვადიან მიმწოდებლის დეკლარაციას, სულ ცოტა სამი წლის განმავლობაში შეინახავს დეკლარაციისა და ყველა სხვა ანგარიშფაქტურის, მიწოდების შესახებ შეტყობინებისა თუ სხვა კომერციული დოკუმენტების ასლებს, რომლებიც ეხება ამ დეკლარაციით მოცულ საქონელს, რომელიც გადაეგზავნა შესაბამის მომხმარებელს, ასევე 5(6) მუხლით გათვალისწინებული დოკუმენტაცია. აღნიშნული პერიოდის ათვლა დაიწყება მიმწოდებლის გრძელვადიანი დეკლარაციის ვადის გასვლის თარიღიდან.</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ადმინისტრაციული თანამშრომლობა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წინამდებარე დანართის სათანადოდ გამოყენების უზრუნველყოფის მიზნით, ევროკავშირი და მაროკო დახმარებას გაუწევენ ერთმანეთს, კომპეტენტური საბაჟო უწყებების მეშვეობით, EUR.1 გადაადგილების სერტიფიკატის, წარმოშობის დეკლარაციების ან მიმწოდებლის დეკლარაციების ნამდვილობის და ამ დოკუმენტებში მოცემული ინფორმაციის სისწორის შემოწმებაში.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b/>
          <w:bCs/>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დეკლარაციების შემოწმება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მიმწოდებლის დეკლარაციების ან მიმწოდებლის გრძელვადიანი დეკლარაციების შემდგომი შემოწმება განხორციელდება არასისტემურად ან მაშინ, როდესაც იმ ქვეყნის საბაჟო უწყებას, სადაც ამგვარი დეკლარაციების მიერ გათვალისწინებულ იქნა EUR.1 გადაადგილების სერტიფიკატის გაცემა ან წარმოშობის დეკლარაციის შედგენა, გაუჩნდება გონივრული საფუძველი, ეჭვი შეიტანოს დოკუმენტების ნამდვილობაში ან აღნიშნული დოკუმენტით წარმოდგენილი ინფორმაციის სისწორეში.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პირველი პუნქტის დებულებების შესრულების მიზნით, პირველ პუნქტში ხსენებული ქვეყნის საბაჟო უწყება მიმწოდებლის დეკლარაციებს ან მიმწოდებლის გრძელვადიან დეკლარაციებს და ანგარიშფაქტურას, მიწოდების შესახებ შეტყობინებას ან სხვა კომერციულ დოკუმენტაციას, რომელიც ეხება ამ დეკლარაციით მოცულ საქონელს, დაუბრუნებს იმ ქვეყნის საბაჟო უწყება, სადაც შედგენილ იქნა დეკლარაცია, და, საჭიროების შემთხვევაში, წარადგენს შემოწმების მოთხოვნის არსისა თუ ფორმის საფუძვლებს.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შემდგომი შემოწმების მოთხოვნის გასამყარებლად, ისინი ასევე გადააგზავნიან ნებისმიერ დოკუმენტაციასა თუ ინფორმაციას, რომელიც მოპოვებულ იქნა და ადასტურებს მიმწოდებლის დეკლარაციასა თუ მიმწოდებლის გრძლევადიან დეკლარაციაში მოცემული ინფორმაციის სისწორეს.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3. </w:t>
      </w:r>
      <w:r>
        <w:rPr>
          <w:rFonts w:ascii="Sylfaen" w:eastAsia="Times New Roman" w:hAnsi="Sylfaen" w:cs="Sylfaen"/>
          <w:noProof/>
          <w:sz w:val="24"/>
          <w:szCs w:val="24"/>
          <w:lang w:eastAsia="x-none"/>
        </w:rPr>
        <w:t>შემოწმება ჩატარდება იმ ქვეყნის საბაჟო უწყების მიერ, სადაც შედგენილ იქნა მიმწოდებლის დეკლარაცია ან მიმწოდებლის გრძლევადიანი დეკლარაცია. ამისათვის, მათ ექნებათ ნებისმიერი მტკიცებულების მოთხოვნის და მიმწოდებლების ანგარიშების ნებისმიერი ინსპექციის (და ყველა სხვა აუცილებელი შემოწმების) ჩატარების უფლება.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შემოწმების მომთხოვნ საბაჟო უწყებას სასწრაფოდ მიეწოდება აღნიშნული შემოწმების შედეგები. ამ შედეგებში მკაფიოდ უნდა იყოს მოცემული არის თუ არა სწორი მიმწოდებლის დეკლარაციაში ან მიმწოდებლის გრძლევადიან დეკლარაციაში მოცემული ინფორმაცია. აღნიშნულმა შედეგებმა შესაძლებელი უნდა გახადოს, განსაზღვრონ უნდა იქნეს თუ არა და რა დოზით უნდა იქნეს გათვალისწინებული ამგვარი დეკლარაცია EUR.1 გადაადგილების სერთიფიკატის გაცემისთვის ან წარმოშობის დეკლარაციის შესადგენად.</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სანქციები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ჯარიმები შესაძლოა დაეკისროს ნებისმიერ პირს, რომელიც ადგენს დოკუმენტს, რომელიც მოიცავს არასწორ ინფორმაციას პროდუქციის მიმართ პრეფერენციული მოპყრობის მიღების მიზნებისთვის.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lastRenderedPageBreak/>
        <w:t>მუხლი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თავისუფალი ზონები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ევროკავშირი და მაროკო მიიღებენ ყველა აუცილებელ ზომას იმის უზრუნველსაყოფად, რომ წარმოშობის სერტიფიკატის მქონე ის სავაჭრო პროდუქცია, რომელიც ტრანსპორტირებისას გამოიყენებს მათ ტერიტორიებზე არსებულ თავისუფალ ზონებს, არ იყოს ჩანაცვლებული სხვა საქონლით და არ დაექვემდებაროს რაიმე ქმედებებს გარდა ჩვეულებრივი ოპერაციებისა, რომლებიც გამიზნულია მათი გაფუჭებისგან დასაცავად.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ამ მუხლის პირველი პუნქტის დებულებებისგან გადახვევის საფუძველზე, როდესაც ევროკავშირის და მაროკოს ტერიტორიაზე წარმოშობილი წარმოშობის სერტიფიკატის მქონე პროდუქცია იმპორტირებულია თავისუფალ ზონაში და განიცდის დამუშავება-გადამუშავებას, შესაბამისმა ხელისუფლებამ უნდა გასცეს ახალი EUR.1 გადაადგილების სერტიფიკატი ექსპორტიორის თხოვნით, თუ ზემოხსენებული დამუშავება-გადამუშავება შეესაბამება წინამდებარე კონვენციის დებულებებს.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IV</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ვაჭრობა ევროკავშირსა და ტუნისის რესპუბლიკას შორის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პროდუქცია, რომელმაც მიიღო წარმოშობა წინამდებარე დანართით გათვალისწინებული დებულებების გამოყენების შედეგად, გათავისუფლდება კუმულაციისგან, როგორც ეს განსაზღვრულია I დანართის მე-3 მუხლით.</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კუმულაცია ევროკავშირში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I </w:t>
      </w:r>
      <w:r>
        <w:rPr>
          <w:rFonts w:ascii="Sylfaen" w:eastAsia="Times New Roman" w:hAnsi="Sylfaen" w:cs="Sylfaen"/>
          <w:noProof/>
          <w:sz w:val="24"/>
          <w:szCs w:val="24"/>
          <w:lang w:eastAsia="x-none"/>
        </w:rPr>
        <w:t>დანართის 2(1)(b) მუხლის დებულებების იმპლემენტაციის მიზნებისთვის, დამუშავება-გადამუშავების პროცესი, რომელიც ხორციელდება ალჟირში, მაროკოში, ან ტუნისში, ჩაითვლება ევროკავშირში განხორციელებულად, როდესაც მიღებული პროდუქცია გადის შემდგომ დამუშავებას ან გადამუშავებას ევროკავშირში. როდესაც, წინამდებარე დებულების შესაბამისად, წარმოშობილი პროდუქცია მიღებულია შესაბამის ორ ან მეტ ქვეყანაში, იგი ჩაითვლება ევროკავშირში წარმოშობილად მხოლოდ იმ შემთხვევაში, თუ დამუშავება-გადამუშავების პროცესი აღემატება I დანართის მე-6 მუხლით გათვალისწინებულს.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კუმულაცია ტუნისში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I </w:t>
      </w:r>
      <w:r>
        <w:rPr>
          <w:rFonts w:ascii="Sylfaen" w:eastAsia="Times New Roman" w:hAnsi="Sylfaen" w:cs="Sylfaen"/>
          <w:noProof/>
          <w:sz w:val="24"/>
          <w:szCs w:val="24"/>
          <w:lang w:eastAsia="x-none"/>
        </w:rPr>
        <w:t xml:space="preserve">დანართის 2(1)(b) მუხლის დებულებების იმპლემენტაციის მიზნებისთვის, დამუშავება-გადამუშავების პროცესი, რომელიც ხორციელდება ევროკავშირში, </w:t>
      </w:r>
      <w:r>
        <w:rPr>
          <w:rFonts w:ascii="Sylfaen" w:eastAsia="Times New Roman" w:hAnsi="Sylfaen" w:cs="Sylfaen"/>
          <w:noProof/>
          <w:sz w:val="24"/>
          <w:szCs w:val="24"/>
          <w:lang w:eastAsia="x-none"/>
        </w:rPr>
        <w:lastRenderedPageBreak/>
        <w:t>ალჟირში, ან მაროკოში, ჩაითვლება ტუნისში განხორციელებულად, როდესაც მიღებული პროდუქცია გადის შემდგომ დამუშავებას ან გადამუშავებას ტუნისში. როდესაც, წინამდებარე დებულების შესაბამისად, წარმოშობილი პროდუქცია მიღებულია შესაბამის ორ ან მეტ ქვეყანაში, იგი ჩაითვლება ტუნისში წარმოშობილად მხოლოდ იმ შემთხვევაში, თუ დამუშავება-გადამუშავების პროცესი აღემატება I დანართის მე-6 მუხლით გათვალისწინებულს.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წარმოშობის სერთიფიკატი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I </w:t>
      </w:r>
      <w:r>
        <w:rPr>
          <w:rFonts w:ascii="Sylfaen" w:eastAsia="Times New Roman" w:hAnsi="Sylfaen" w:cs="Sylfaen"/>
          <w:noProof/>
          <w:sz w:val="24"/>
          <w:szCs w:val="24"/>
          <w:lang w:eastAsia="x-none"/>
        </w:rPr>
        <w:t xml:space="preserve">დანართის 16(4) და (5) მუხლისთვის ზიანის მიყენების გარეშე, EUR.1 გადაადგილების სერთიფიკატი გაიცემა ევროკავშირის წევრი სახელმწიფოს ან ტუნისის საბაჟო უწყების მიერ, თუ პროდუქტი ჩაითვლება წარმოშობილად ევროკავშირში ან ტუნისში, კუმულაციის გამოყენებით, რომელიც გათვალისწინებულია წინამდებარე დანართის მე-2 და მე-3 მუხლებით და თუ ისინი ასრულებენ I დამატებით დადგენილ სხვა მოთხოვნებს.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I დანართის 21(2) და (3) მუხლისთვის ზიანის მიყენების გარეშე, წარმოშობის დეკლარაცია შედგენილ იქნება, თუ შესაბამისი პროდუქცია ჩაითვლება წარმოშობილად ევროკავშირში ან ტუნისში, კუმულაციის გამოყენებით, რომელიც გათვალისწინებულია წინამდებარე დანართის მე-2 და მე-3 მუხლებით თუ ისინი ასრულებენ I დამატებით დადგენილ სხვა მოთხოვნებს.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როდესაც გაიცემა EUR.1 გადაადგილების სერთიფიკატი ან შედგება წარმოშობის დეკლარაცია ევროკავშირში ან ტუნისში წარმოშობის პროდუქციისთვის, რომელთა წარმოებისას საქონელი მოდის ალჟირიდან, მაროკოდან, ტუნისიდან ან ევროკავშირიდან, რომელთაც გაიარეს დამუშავება-გადამუშავების პროცედურები ამ ქვეყნებში პრეფერენციული წარმოშობის სტატუსის მოპოვების გარეშე, ყურადღება უნდა გამახვილდეს მიმწოდებლის დეკლარაციაზე, რომელიც გაიცა ამ საქონლისთვის წინამდებარე მუხლის შესაბამისად.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პირველ პუნქტში მოხსენიებული მიმწოდებლის დეკლარაცია მიიჩნევა დამუშავება-გადამუშავების პროცესის დამადასტურებელ დოკუმენტად, რომელიც განხორციელდა ალჟირში, მაროკოში, ტუნისში ან ევროკავშირში შესაბამისი საქონლის მიმართ იმის განსასაზღვრად, რომ პროდუქცია, რომლის საწარმოებლადაც გამოიყენება ეს საქონელი, შესაძლოა ჩაითვალოს წარმოშობილად ევროკავშირში ან ტუნისში და შეასრულოს I დამატებით დადგენილი სხვა მოთხოვნები.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ცალკე მიმწოდებლის დეკლარაცია, გარდა მე-4 პუნქტით განსაზღვრული შემთხვევებისა, შედგენილ იქნება მიმწოდებლის მიერ თითოეული პარტიისთვის A დანართში გაწერილი ფორმის შესაბამისად, ფურცელზე, რომელიც თან ერთვის </w:t>
      </w:r>
      <w:r>
        <w:rPr>
          <w:rFonts w:ascii="Sylfaen" w:eastAsia="Times New Roman" w:hAnsi="Sylfaen" w:cs="Sylfaen"/>
          <w:noProof/>
          <w:sz w:val="24"/>
          <w:szCs w:val="24"/>
          <w:lang w:eastAsia="x-none"/>
        </w:rPr>
        <w:lastRenderedPageBreak/>
        <w:t>ანგარიშფაქტურას, მიწოდების შესახებ შეტყობინებას ან ნებისმიერ სხვა კომერციულ დოკუმენტს, რომელიც მოიცავს შესაბამისი საქონლის აღწერილობას საკმარისად დეტალურად მათი იდენტიფიცირების მიზნით.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როდესაც მიმწოდებელი რეგულარულად უზრუნველყოფს კონკრეტულ მომხმარებელს საქონლით, რომლის მიმართაც არსებობს მოლოდინი, რომ ალჟირში, მაროკოში, ტუნისში ან ევროკავშირში განხორციელებული დამუშავება-გადამუშავების პროცესი გაგრძელდება გარკეული პერიოდის განმავლობაში, მიმწოდებელს შეუძლია წარმოადგინოს ერთიანი მიმწოდებლის დეკლარაცია, რათა მოიცვას ამ საქონლის შემდგომი პარტიები (შემდგომში წოდებული, როგორც „მიმწოდებლის გრძელვადიანი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მიმწოდებლის გრძელვადიანი დეკლარაცია შესაძლოა ჩვეულებრივ მოქმედებდეს დეკლარაციის შედგენიდან ერთ წლამდე პერიოდის განმავლობაში. იმ ქვეყნის საბაჟო უწყება, რომელშიც მოხდა დეკლარაციის შედგენა, განსაზღვრავს მისი მეტი ხნით გაგრძელების პირობებს.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გრძელვადიანი დეკლარაცია შესაძლოა შედგენილ იქნეს B დანართით გაწერილი ფორმის შესაბამისად და აღწერს შესაბამის საქონელს საკმარისად დეტალურად მათი იდენტიფიცირების მიზნით. დეკლარაცია მიეწოდება შესაბამის მომხმარებელს სანამ მას მიეწოდება ამ დეკლარაციით მოცული ტვირთის პირველი პარტია ან მის პირველ პარტიასთან ერთად.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თავის მომხმარებელს დაუყოვნებლივ შეატყობინებს, თუ მიმწოდებლის გრძელვადიანი დეკლარაცია აღარ გამოიყენება მიწოდებული საქონლის მიმართ.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მე-3 და მე-4 პუნქტებში ნახსენები მიმწოდებლის დეკლარაციები დაიბეჭდება შეთანხმების ერთ-ერთ ენაზე, იმ ქვეყნის შიდა სამართლის შესაბამისად, სადაც იქნა დეკლარაცია შედგენილი და თან დაერთვება მიმწოდებლის ხელმოწერა. დეკლარაცია ასევე შესაძლოა შეივსოს ხელით; ამ შემთხვევაში, იგი შეივსება მელნით ან ბეჭდური ფორმით.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მიმწოდებელი, რომელიც ადგენს დეკლარაციას, მზად უნდა იყოს, ნებისმიერ დროს, იმ ქვეყნის საბაჟოს უწყების მოთხოვნით, სადაც შედგა დეკლარაცია, რომ წარადგინოს ყველა აუცილებელი დოკუმენტი, რომელიც დაადასტურებს მოცემულ დეკლარაციაში აღწერილი ინფორმაციის სისწორეს.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თანმხლები დოკუმენტაცია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მიმწოდებლის დეკლარაციები, რომლებიც ადასტურებენ დამუშავება-გადამუშავების პროცედურებს, რომელიც განხორციელდა ევროკავშირში, ალჟირში, მაროკოში ან ტუნისში იმ მასალებით, რომლებიც გამოიყენება, შედგება ერთ-ერთ ამ ქვეყანაში, უნდა აღიქმებოდეს, როგორც I დანართის 16(3) და 21(5) მუხლებით და წინამდებარე დანართის 5(6) მუხლით გათვალისწინებული დოკუმენტი, რომელიც გამოიყენება </w:t>
      </w:r>
      <w:r>
        <w:rPr>
          <w:rFonts w:ascii="Sylfaen" w:eastAsia="Times New Roman" w:hAnsi="Sylfaen" w:cs="Sylfaen"/>
          <w:noProof/>
          <w:sz w:val="24"/>
          <w:szCs w:val="24"/>
          <w:lang w:eastAsia="x-none"/>
        </w:rPr>
        <w:lastRenderedPageBreak/>
        <w:t>იმის დასადასტურებლად, რომ EUR.1 გადაადგილების სერთიფიკატით ან წარმოშობის დეკლარაციით მოცული პროდუქცია შესაძლოა ჩაითვალოს ევროკავშირში ან ტუნისში წარმოშობილ პროდუქციად და შეასრულებს I დამატებით გათვალისწინებული მოთხოვნები.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დეკლარაციების შენახვა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რომელიც ადგენს მიმწოდებლის დეკლარაციას, სულ ცოტა სამი წლის განმავლობაში შეინახავს დეკლააციისა და ყველა სხვა ანგარიშფაქტურის, მიწოდების შესახებ შეტყობინებისა თუ სხვა კომერციული დოკუმენტების ასლებს, რომელთაც ერთვის აღნიშნული დეკლარაცია და ასევე 5(6) მუხლით გათვალისწინებული დოკუმენტაცია.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რომელიც ადგენს გრძელვადიან მიმწოდებლის დეკლარაციას, სულ ცოტა სამი წლის განმავლობაში შეინახავს დეკლარაციისა და ყველა სხვა ანგარიშფაქტურის, მიწოდების შესახებ შეტყობინებისა თუ სხვა კომერციული დოკუმენტების ასლებს, რომლებიც ეხება ამ დეკლარაციით მოცულ საქონელს, რომელიც გადაეგზავნა შესაბამის მომხმარებელს, ასევე 5(6) მუხლით გათვალისწინებული დოკუმენტაცია. აღნიშნული პერიოდის ათვლა დაიწყება მიმწოდებლის გრძელვადიანი დეკლარაციის ვადის გასვლის თარიღიდან.</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ადმინისტრაციული თანამშრომლობა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წინამდებარე დანართის სათანადოდ გამოყენების უზრუნველყოფის მიზნით, ევროკავშირი და ტუნისი დახმარებას გაუწევენ ერთმანეთს, კომპეტენტური საბაჟო უწყებების მეშვეობით, EUR.1 გადაადგილების სერტიფიკატის, წარმოშობის დეკლარაციების ან მიმწოდებლის დეკლარაციების ნამდვილობის და ამ დოკუმენტებში მოცემული ინფორმაციის სისწორის შემოწმებაში.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დეკლარაციების შემოწმება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მიმწოდებლის დეკლარაციების ან მიმწოდებლის გრძელვადიანი დეკლარაციების შემდგომი შემოწმება განხორციელდება არასისტემურად ან მაშინ, როდესაც იმ ქვეყნის საბაჟო უწყებას, სადაც ამგვარი დეკლარაციების მიერ გათვალისწინებულ იქნა EUR.1 გადაადგილების სერტიფიკატის გაცემა ან წარმოშობის დეკლარაციის შედგენა, გაუჩნდება გონივრული საფუძველი, ეჭვი შეიტანოს დოკუმენტების ნამდვილობაში ან აღნიშნული დოკუმენტით წარმოდგენილი ინფორმაციის სისწორეში.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პირველი პუნქტის დებულებების შესრულების მიზნით, პირველ პუნქტში ხსენებული ქვეყნის საბაჟო უწყება მიმწოდებლის დეკლარაციებს ან მიმწოდებლის გრძელვადიან დეკლარაციებს და ანგარიშფაქტურას, მიწოდების შესახებ </w:t>
      </w:r>
      <w:r>
        <w:rPr>
          <w:rFonts w:ascii="Sylfaen" w:eastAsia="Times New Roman" w:hAnsi="Sylfaen" w:cs="Sylfaen"/>
          <w:noProof/>
          <w:sz w:val="24"/>
          <w:szCs w:val="24"/>
          <w:lang w:eastAsia="x-none"/>
        </w:rPr>
        <w:lastRenderedPageBreak/>
        <w:t>შეტყობინებას ან სხვა კომერციულ დოკუმენტაციას, რომელიც ეხება ამ დეკლარაციით მოცულ საქონელს, დაუბრუნებს იმ ქვეყნის საბაჟო უწყება, სადაც შედგენილ იქნა დეკლარაცია, და, საჭიროების შემთხვევაში, წარადგენს შემოწმების მოთხოვნის არსისა თუ ფორმის საფუძვლებს.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შემდგომი შემოწმების მოთხოვნის გასამყარებლად, ისინი ასევე გადააგზავნიან ნებისმიერ დოკუმენტაციასა თუ ინფორმაციას, რომელიც მოპოვებულ იქნა და ადასტურებს მიმწოდებლის დეკლარაციასა თუ მიმწოდებლის გრძლევადიან დეკლარაციაში მოცემული ინფორმაციის სისწორეს.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შემოწმება ჩატარდება იმ ქვეყნის საბაჟო უწყების მიერ, სადაც შედგენილ იქნა მიმწოდებლის დეკლარაცია ან მიმწოდებლის გრძლევადიანი დეკლარაცია. ამისათვის, მათ ექნებათ ნებისმიერი მტკიცებულების მოთხოვნის და მიმწოდებლების ანგარიშების ნებისმიერი ინსპექციის (და ყველა სხვა აუცილებელი შემოწმების) ჩატარების უფლება.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4. </w:t>
      </w:r>
      <w:r>
        <w:rPr>
          <w:rFonts w:ascii="Sylfaen" w:eastAsia="Times New Roman" w:hAnsi="Sylfaen" w:cs="Sylfaen"/>
          <w:noProof/>
          <w:sz w:val="24"/>
          <w:szCs w:val="24"/>
          <w:lang w:eastAsia="x-none"/>
        </w:rPr>
        <w:t>შემოწმების მომთხოვნ საბაჟო უწყებას სასწრაფოდ მიეწოდება აღნიშნული შემოწმების შედეგები. ამ შედეგებში მკაფიოდ უნდა იყოს მოცემული არის თუ არა სწორი მიმწოდებლის დეკლარაციაში ან მიმწოდებლის გრძლევადიან დეკლარაციაში მოცემული ინფორმაცია. აღნიშნულმა შედეგებმა შესაძლებელი უნდა გახადოს, განსაზღვრონ უნდა იქნეს თუ არა და რა დოზით უნდა იქნეს გათვალისწინებული ამგვარი დეკლარაცია EUR.1 გადაადგილების სერთიფიკატის გაცემისთვის ან წარმოშობის დეკლარაციის შესადგენად.</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სანქციები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ჯარიმები შესაძლოა დაეკისროს ნებისმიერ პირს, რომელიც ადგენს დოკუმენტს, რომელიც მოიცავს არასწორ ინფორმაციას პროდუქციის მიმართ პრეფერენციული მოპყრობის მიღების მიზნებისთვის.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თავისუფალი ზონები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ევროკავშირი და ტუნისი მიიღებენ ყველა აუცილებელ ზომას იმის უზრუნველსაყოფად, რომ წარმოშობის სერტიფიკატის მქონე ის სავაჭრო პროდუქცია, რომელიც ტრანსპორტირებისას გამოიყენებს მათ ტერიტორიებზე არსებულ თავისუფალ ზონებს, არ იყოს ჩანაცვლებული სხვა საქონლით და არ დაექვემდებაროს რაიმე ქმედებებს გარდა ჩვეულებრივი ოპერაციებისა, რომლებიც გამიზნულია მათი გაფუჭებისგან დასაცავად.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ამ მუხლის პირველი პუნქტის დებულებებისგან გადახვევის საფუძველზე, როდესაც ევროკავშირის და ტუნისის ტერიტორიაზე წარმოშობილი წარმოშობის სერტიფიკატის მქონე პროდუქცია იმპორტირებულია თავისუფალ ზონაში და განიცდის დამუშავება-გადამუშავებას, შესაბამისმა ხელისუფლებამ უნდა გასცეს ახალი EUR.1 </w:t>
      </w:r>
      <w:r>
        <w:rPr>
          <w:rFonts w:ascii="Sylfaen" w:eastAsia="Times New Roman" w:hAnsi="Sylfaen" w:cs="Sylfaen"/>
          <w:noProof/>
          <w:sz w:val="24"/>
          <w:szCs w:val="24"/>
          <w:lang w:eastAsia="x-none"/>
        </w:rPr>
        <w:lastRenderedPageBreak/>
        <w:t xml:space="preserve">გადაადგილების სერტიფიკატი ექსპორტიორის თხოვნით, თუ ზემოხსენებული დამუშავება-გადამუშავება შეესაბამება წინამდებარე კონვენციის დებულებებს.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V</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სეუტა და მელილა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წინამდებარე კონვენციის გამოყენება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ტერმინი „ევროკავშირი“ არ მოიცავს სეუტას და მელილას.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პროდუქცია, რომელიც წარმოიშობა ხელშემკვრელ მხარეში, გარდა ევროკავშირისა, როდესაც ხორციელდება მისი ექსპორტი სეუტაში ან მელილაში, ყველანაირ ასპექტში ისარგებლებს ანალოგიური საბაჟო რეჟიმით, როგორც ეს ვრცელდება იმ პროდუქციაზე, რომელიც წარმოიშობა ევროკავშირის საბაჟო ტერიტორიაზე ესპანეთის სამეფოსა და პორტუგალიის რესპუბლიკის ევროპის გაერთიანებებთან მიერთების შესახებ აქტის მე-2 ოქმის შესაბამისად. ხელშემკვრელი მხარეები, გარდა ევროკავშირისა, იმპორტირებულ პროდუქციას, რომელიც მოცულია შესაბამისი შეთანხმებით და წარმოიშვა სეუტაში და მელილაში, მიანიჭებენ ანალოგიურ საბაჟო მოპყრობას, როგორც ეს მინიჭებული აქვთ ევროკავშირიდან იმპორტირებულ და მასში წარმოშობილ პროდუქციას.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მე-2 პუნქტის გამოყენების მიზნებისთვის, რომელიც ეხება სეუტასა და მელილაში წარმოშობილ პროდუქციას, წინამდებარე კონვენცია გამოიყენება, სათანადო ცვლილებებით, მე-2 მუხლით გაწერილი სპეციალური პირობების საფუძველზე.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b/>
          <w:bCs/>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სპეციალური პირობები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იმის გათვალისწინებით, რომ პროდუქცია პირდაპირ იქნა ტრანსპორტირებული I დანართის მე-12 მუხლის დებულებების შესაბამისად, ქვემოთ მოცემული შესაძლოა მიჩნეულ იქნეს, როგორც: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პროდუქცია, რომელიც წარმოიშვა სეუტასა და მელილაში: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 სეუტასა და მელილაში სრულად მიღებული პროდუქცია;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b) სეუტასა და მელილაში მიღებული პროდუქცია, რომლის წარმოებისას გამოიყენება პროდუქცია, გარდა (a) პუნქტით გათვალისწინებული პროდუქციისა, იმის გათვალისწინებით, რომ:</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 აღნიშნულმა პროდუქციამ გაიარა საკმარისი დამუშავება-გადამუშავების პროცედურები I დანართის მე-5 მუხლის მნიშვნელობის ფარგლებში; ან რომ</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ii. ის პროდუქცია, რომელიც წარმოიშვა იმპორტიორ ხელშემკვრელ მხარეში ან ევროკავშირში, იმის გათვალისწინებით, რომ იგი დაექვემდებარა დამუშავება-</w:t>
      </w:r>
      <w:r>
        <w:rPr>
          <w:rFonts w:ascii="Sylfaen" w:eastAsia="Times New Roman" w:hAnsi="Sylfaen" w:cs="Sylfaen"/>
          <w:noProof/>
          <w:sz w:val="24"/>
          <w:szCs w:val="24"/>
          <w:lang w:eastAsia="x-none"/>
        </w:rPr>
        <w:lastRenderedPageBreak/>
        <w:t>გადამუშავების პროცედურებს, რომელიც სცდება I დანართის მე-6 მუხლით გათვალისწინებულ ოპერაციებს.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პროდუქცია, რომელიც წარმოიშვა ექსპორტიორ ხელშემკვრელ მხარეში, გარდა ევროკავშირისა: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a) ექსპორტიორ ხელშემკვრელ მხარეში სრულად მიღებული პროდუქცია;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b) ექსპორტიორ ხელშემკვრელ მხარეში მიღებული პროდუქცია, რომლის წარმოებისას გამოიყენება პროდუქცია, გარდა (a) პუნქტით გათვალისწინებული პროდუქციისა, იმის გათვალიწინებით, რომ:</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 აღნიშნულმა პროდუქციამ გაიარა საკმარისი დამუშავება-გადამუშავების პროცედურები I დანართის მე-5 მუხლის მნიშვნელობის ფარგლებში; ან რომ</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ii. ის პროდუქცია, რომელიც წარმოიშვა სუეტასა და მელილაში ან ევეროპის კავშირში, იმის გათვალისწინებით, რომ იგი დაექვემდებარა დამუშავება-გადამუშავების პროცედურებს, რომელიც სცდება I დანართის მე-6 მუხლით გათვალისწინებულ ოპერაციებს.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სუეტა და მელილა ჩაითვლება ერთიან ტერიტორიად.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ექსპორტიორი ან მისი უფლებამოსილი წარმომადგენელი ექსპორტიორი ან იმპორტიორი ხელშემკვრელი მხარის სახელწოდებასა და "სეუტა და მელილას" დააფიქსირებს EUR.1 ან EUR-MED გადაადგილების სერთიფიკატის ან წარმოშობის სერთიფიკატის ან EUR-MED წარმოშობის სერთიფიკატის მე-2 უჯრაში. ამას გარდა, სეუტა და მელილაში წარმოშობილი პროდუქტების შემთხვევაში, აღნიშნული მიეთითება EUR.1 ან EUR-MED გადაადგილების სერთიფიკატის ან წარმოშობის სერთიფიკატის ან EUR-MED წარმოშობის სერთიფიკატის მე-4 უჯრაში.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ესპანური საბაჟო უწყება პასუხისმგებელია წინამდებარე კონვენციის გავრცელებაზე სეუტასა და მელილაში.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VI</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ერთობლივი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ანდორას სამთავროს შესახებ</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ანდორას სამთავრში წარმოშობილი პროდუქცია, რომელიც მოცემულია ჰარმონიზებული სისტემის 25-ე დან 97-ე თავებში, საქართველოში მიჩნეული იქნება ევროკავშირის ტერიტორიაზე წარმოშობილად, ამ შეთანხმების ფარგლებში.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პირველ პუნქტში ხსენებული პროდუქციის წარმოშობის განსაზღვრის მიზნით გამოყენებული იქნება I ოქმი “საქონლის წარმოშობის“ ცნების განსაზღვრის და ადმინისტრაციული თანამშრომლობის მეთოდების შესახებ, შესაბამისი ცვლილებებით.</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VII</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ერთობლივი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სან მარინოს რესპუბლიკის შესახებ</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სან მარინოს რესპუბლიკაში წარმოშობილი პროდუქცია საქართველოში მიჩნეული იქნება ევროკავშირის ტერიტორიაზე წარმშობილად, ამ შეთანხმების მიზნებისთვის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პროდუქციის წარმოშობის განსაზღვრის მიზნით გამოყენებული იქნება I ოქმი „საქონლის წარმოშობის“ ცნების განსაზღვრის და ადმინისტრაციული თანამშრომლობის მეთოდების შესახებ განმარტების ადაპტირება მოხდება პერიოდული ცვლილებების შესაბამისად სისტემის ჰარმონიზაციისათვის.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VIII</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ვაჭრობა თურქეთის რესპუბლიკასა და ევროკავშირის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სტაბილიზაციისა და ასოცირების პროცესის მონაწილეებს შორის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ქვემოთ ჩამოთვლილი პროდუქცია გათავისუფლდება კუმულაციისგან, როგორც ეს გათვალისწინებულია I დანართის მე-3 მუხლით, თუ:</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 საბოლოო დანიშნულების ქვეყანა არის თურქეთის რესპუბლიკა, და: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 აღნიშნული პროდუქტების წარმოებისას გამოყენებული მასალები წარმოშობილია ევროკავშირის სტაბილიზაციისა და ასოცირების პროცესის მონაწილე რომელიმე ქვეყანაში, ან</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(ii) ამ პროდუქციამ მიიღო წარმოშობა იმ დამუშავებისა თუ გადამუშავების შედეგად, რომელიც განხორციელდა ევროკავშირის სტაბილიზაციისა და ასოცირების პროცესის მონაწილე რომელიმე ქვეყანაში; ან</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(ბ) საბოლოო დანიშნულების ქვეყანა არის ევროკავშირის სტაბილიზაციისა და ასოცირების პროცესის მონაწილე რომელიმე ქვეყანა, და: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 აღნიშნული პროდუქტების წარმოებისას გამოყენებული მასალები წარმოშობილია თურქეთის რესპუბლიკაში, ან</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(ii) ამ პროდუქციამ მიიღო წარმოშობა იმ დამუშავებისა თუ გადამუშავების შედეგად, რომელიც განხორციელდა თურქეთის რესპუბლიკაში.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CellMar>
          <w:left w:w="15" w:type="dxa"/>
          <w:right w:w="15" w:type="dxa"/>
        </w:tblCellMar>
        <w:tblLook w:val="0000" w:firstRow="0" w:lastRow="0" w:firstColumn="0" w:lastColumn="0" w:noHBand="0" w:noVBand="0"/>
      </w:tblPr>
      <w:tblGrid>
        <w:gridCol w:w="1314"/>
        <w:gridCol w:w="8061"/>
      </w:tblGrid>
      <w:tr w:rsidR="00D74962">
        <w:tc>
          <w:tcPr>
            <w:tcW w:w="1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xml:space="preserve">CN-Code </w:t>
            </w:r>
          </w:p>
        </w:tc>
        <w:tc>
          <w:tcPr>
            <w:tcW w:w="8061"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აღწერილობა</w:t>
            </w:r>
            <w:r>
              <w:rPr>
                <w:rFonts w:ascii="Sylfaen" w:hAnsi="Sylfaen" w:cs="Sylfaen"/>
                <w:noProof/>
                <w:sz w:val="20"/>
                <w:szCs w:val="20"/>
                <w:lang w:eastAsia="x-none"/>
              </w:rPr>
              <w:t xml:space="preserve"> </w:t>
            </w:r>
          </w:p>
        </w:tc>
      </w:tr>
      <w:tr w:rsidR="00D74962">
        <w:tc>
          <w:tcPr>
            <w:tcW w:w="1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xml:space="preserve">1704 90 99 </w:t>
            </w:r>
          </w:p>
        </w:tc>
        <w:tc>
          <w:tcPr>
            <w:tcW w:w="8061"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სხვა შაქრიანი საკონდიტრო ნაწარმი, რომელიც არ შეიცავს კაკაოს </w:t>
            </w:r>
          </w:p>
        </w:tc>
      </w:tr>
      <w:tr w:rsidR="00D74962">
        <w:tc>
          <w:tcPr>
            <w:tcW w:w="1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1806 10 30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1806 10 90 </w:t>
            </w:r>
          </w:p>
        </w:tc>
        <w:tc>
          <w:tcPr>
            <w:tcW w:w="8061"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შოკოლადი და სხვა საკვები პროდუქტების მოსამზადებლები, რომელიც შეიცავს კაკაოს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კაკაოს ფხვნილი, რომელიც შეიცავს შაქრის დანამატს ან დამატკბობელს: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რომელიც შეიცავს 65% ან მეტ, მაგრამ 80%-ზე ნაკლებ საქაროზას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(საქაროზით გამოხატულ ინვერტულ შაქარს) ან საქაროზით გამოხატულ იზოგლუკოზას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lastRenderedPageBreak/>
              <w:t xml:space="preserve">– რომელიც შეიცავს 80% ან მეტ საქაროზას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(საქაროზით გამოხატულ ინვერტულ შაქარს) ან საქაროზით გამოხატულ იზოგლუკოზას </w:t>
            </w:r>
          </w:p>
        </w:tc>
      </w:tr>
      <w:tr w:rsidR="00D74962">
        <w:trPr>
          <w:trHeight w:val="180"/>
        </w:trPr>
        <w:tc>
          <w:tcPr>
            <w:tcW w:w="1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lastRenderedPageBreak/>
              <w:t xml:space="preserve">1806 20 95 </w:t>
            </w:r>
          </w:p>
        </w:tc>
        <w:tc>
          <w:tcPr>
            <w:tcW w:w="8061"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საკვები პროდუქტების მოსამზადებლები, რომლებიც შეიცავს კაკაოს ფერის, ნაჭრებისა და ფილების სახით და იწონის 2 კგ.-ზე მეტს ან სითხის, ფხვნილის, გრანულების ან სხვა ფორმით კონტეინერში ან ისეთი პაკეტის შეფუთვით, რომელიც აღემატება 2კგ.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tc>
      </w:tr>
      <w:tr w:rsidR="00D74962">
        <w:tc>
          <w:tcPr>
            <w:tcW w:w="1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1901 90 99 </w:t>
            </w:r>
          </w:p>
        </w:tc>
        <w:tc>
          <w:tcPr>
            <w:tcW w:w="8061"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ქერის ექსტრაქტი, საკვების მოსამზადებლები, როგორიცაა ფქვილი, ბურღულეული, სახამებელი ან ქერის ექსტრაქტი, რომელიც არ შეიცავს კაკაოს ან შეიცავს 40%-ზე ნაკლები რაოდენობით, რომელიც გამოითვლება სრულიად ცხიმგამოცლილი საკვების მოსამზადებლის საფუძველზე, რომელიც არსად არ ფიქსირდება და მას არაფერი არ შეიცავს, საკვების მოსამზადებელი იმ საქონლისთვის, რომელიც მოქცეულია 0401-0404 სექციების ქვეშ და არ შეიცავს კაკაოს ან შეიცავს 40%-ზე ნაკლები რაოდენობით, რომელიც გამოითვლება სრულიად ცხიმგამოცლილი საკვების მოსამზადებლის საფუძველზე, რომელიც არსად არ ფიქსირდება და მას არაფერი არ შეიცავს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(ვიდრე ქერის ექსტრაქტი)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tc>
      </w:tr>
      <w:tr w:rsidR="00D74962">
        <w:tc>
          <w:tcPr>
            <w:tcW w:w="1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2101 12 98 </w:t>
            </w:r>
          </w:p>
        </w:tc>
        <w:tc>
          <w:tcPr>
            <w:tcW w:w="8061"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სხვა მოსამზადებლები ყავის ბაზისით </w:t>
            </w:r>
          </w:p>
        </w:tc>
      </w:tr>
      <w:tr w:rsidR="00D74962">
        <w:trPr>
          <w:trHeight w:val="180"/>
        </w:trPr>
        <w:tc>
          <w:tcPr>
            <w:tcW w:w="1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2101 20 98 </w:t>
            </w:r>
          </w:p>
        </w:tc>
        <w:tc>
          <w:tcPr>
            <w:tcW w:w="8061"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სხვა მოსამზადებლები ჩაის ან კოფეინიანი სასმელის ბაზისით </w:t>
            </w:r>
          </w:p>
        </w:tc>
      </w:tr>
      <w:tr w:rsidR="00D74962">
        <w:trPr>
          <w:trHeight w:val="180"/>
        </w:trPr>
        <w:tc>
          <w:tcPr>
            <w:tcW w:w="1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2106 90 59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(1) </w:t>
            </w:r>
          </w:p>
        </w:tc>
        <w:tc>
          <w:tcPr>
            <w:tcW w:w="8061"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საკვების მოსამზადებელი, რომელიც არსად არ ფიქსირდება და მას არაფერი არ შეიცავს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tc>
      </w:tr>
      <w:tr w:rsidR="00D74962">
        <w:trPr>
          <w:trHeight w:val="180"/>
        </w:trPr>
        <w:tc>
          <w:tcPr>
            <w:tcW w:w="1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2106 90 98 </w:t>
            </w:r>
          </w:p>
        </w:tc>
        <w:tc>
          <w:tcPr>
            <w:tcW w:w="8061"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საკვების მოსამზადებელი, რომელიც არსად არ ფიქსირდება და მას არაფერი არ შეიცავს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(ვიდრე პროტეინის კონცენტრატები და ტექსტურირებული ცილოვანი ნივთიერებები)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tc>
      </w:tr>
      <w:tr w:rsidR="00D74962">
        <w:tc>
          <w:tcPr>
            <w:tcW w:w="1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3302 10 29 </w:t>
            </w:r>
          </w:p>
        </w:tc>
        <w:tc>
          <w:tcPr>
            <w:tcW w:w="8061"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სურნელოვანი ნივთიერებებისა და ნარევების მიქსტურა (ალკოჰოლური ნაზავების ჩათვლით) ერთი ან მეტი აღნიშნული ნივთიერერების ბაზისით, რომელიც გამოიყენება როგორც ნედლეული მრეწველობაში; სხვა მოსამზადებლები სურნელოვან ნივთიერებებზე დაყრდნობით, რომლებიც გამოიყენება სასმლის წარმოებისას: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გამოიყენება საკვების ან სასმლის მრეწველობაში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გამოიყენება სასმლის მრეწველობაში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მოსამზადებლები, რომლებიც მოიცავს ყველანაირ სურნელოვან ნივთიერებას და ხასიათდება, როგორც სასმელი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რეალურად ალკოჰოლური სიძლიერის მქონე სასმელი – 0.5%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არ შეიცავს რძის ცხიმს, საქაროზას, იზოგლუკოზას, გლუკოზას, სახამებელს ან შეიცავს 1.5%-ზე ნაკლებ რძის ცხიმს, 5%-ზე ნაკლებ საქაროზას ან იზოგლუკოზას, 5%-ზე ნაკლებ გლუკოზას ან სახამებელს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0"/>
                <w:szCs w:val="20"/>
                <w:lang w:eastAsia="x-none"/>
              </w:rPr>
            </w:pPr>
            <w:r>
              <w:rPr>
                <w:rFonts w:ascii="Sylfaen" w:eastAsia="Times New Roman" w:hAnsi="Sylfaen" w:cs="Sylfaen"/>
                <w:noProof/>
                <w:sz w:val="20"/>
                <w:szCs w:val="20"/>
                <w:lang w:eastAsia="x-none"/>
              </w:rPr>
              <w:t xml:space="preserve">– სხვა </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ეს პროდუქცია არ გათავისუფლდება კუმულაციისგან, როგორც ეს გათვალისწინებულია I დანართის მე-3 მუხლით, თურქეთის რესპუბლიკასა და </w:t>
      </w:r>
      <w:r>
        <w:rPr>
          <w:rFonts w:ascii="Sylfaen" w:eastAsia="Times New Roman" w:hAnsi="Sylfaen" w:cs="Sylfaen"/>
          <w:noProof/>
          <w:sz w:val="24"/>
          <w:szCs w:val="24"/>
          <w:lang w:eastAsia="x-none"/>
        </w:rPr>
        <w:lastRenderedPageBreak/>
        <w:t>მაკედონიის რესპუბლიკას (იოგოსლავიის ყოფილი რესპუბლიკა) შორის პრეფერენციულ ვაჭრობაში.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IX</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ვაჭრობა თურქეთის რესპუბლიკასა და მაროკოს სამეფოს შორის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პროდუქცია, რომელმაც მიიღო წარმოშობა წინამდებარე დანართით გათვალისწინებული დებულებების გამოყენების შედეგად, გათავისუფლდება კუმულაციისგან, როგორც ეს განსაზღვრულია I დანართის მე-3 მუხლით.</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კუმულაცია თურქეთში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I </w:t>
      </w:r>
      <w:r>
        <w:rPr>
          <w:rFonts w:ascii="Sylfaen" w:eastAsia="Times New Roman" w:hAnsi="Sylfaen" w:cs="Sylfaen"/>
          <w:noProof/>
          <w:sz w:val="24"/>
          <w:szCs w:val="24"/>
          <w:lang w:eastAsia="x-none"/>
        </w:rPr>
        <w:t>დანართის 2(1)(b) მუხლის დებულებების იმპლემენტაციის მიზნებისთვის, დამუშავება-გადამუშავების პროცესი, რომელიც ხორციელდება ალჟირში, მაროკოში, ან ტუნისში, ჩაითვლება თურქეთში განხორციელებულად, როდესაც მიღებული პროდუქცია გადის შემდგომ დამუშავებას ან გადამუშავებას თურქეთში. როდესაც, წინამდებარე დებულების შესაბამისად, წარმოშობილი პროდუქცია მიღებულია შესაბამის ორ ან მეტ ქვეყანაში, იგი ჩაითვლება თურქეთში წარმოშობილად მხოლოდ იმ შემთხვევაში, თუ დამუშავება-გადამუშავების პროცესი აღემატება I დანართის მე-6 მუხლით გათვალისწინებულს.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კუმულაცია მაროკოში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I </w:t>
      </w:r>
      <w:r>
        <w:rPr>
          <w:rFonts w:ascii="Sylfaen" w:eastAsia="Times New Roman" w:hAnsi="Sylfaen" w:cs="Sylfaen"/>
          <w:noProof/>
          <w:sz w:val="24"/>
          <w:szCs w:val="24"/>
          <w:lang w:eastAsia="x-none"/>
        </w:rPr>
        <w:t>დანართის 2(1)(b) მუხლის დებულებების იმპლემენტაციის მიზნებისთვის, დამუშავება-გადამუშავების პროცესი, რომელიც ხორციელდება თურქეთში, ალჟირში, ან ტუნისში, ჩაითვლება მაროკოში განხორციელებულად, როდესაც მიღებული პროდუქცია გადის შემდგომ დამუშავებას ან გადამუშავებას მაროკოში. როდესაც, წინამდებარე დებულების შესაბამისად, წარმოშობილი პროდუქცია მიღებულია შესაბამის ორ ან მეტ ქვეყანაში, იგი ჩაითვლება მაროკოში წარმოშობილად მხოლოდ იმ შემთხვევაში, თუ დამუშავება-გადამუშავების პროცესი აღემატება I დანართის მე-6 მუხლით გათვალისწინებულს.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წარმოშობის სერთიფიკატი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I </w:t>
      </w:r>
      <w:r>
        <w:rPr>
          <w:rFonts w:ascii="Sylfaen" w:eastAsia="Times New Roman" w:hAnsi="Sylfaen" w:cs="Sylfaen"/>
          <w:noProof/>
          <w:sz w:val="24"/>
          <w:szCs w:val="24"/>
          <w:lang w:eastAsia="x-none"/>
        </w:rPr>
        <w:t xml:space="preserve">დანართის 16(4) და (5) მუხლისთვის ზიანის მიყენების გარეშე, EUR.1 გადაადგილების სერთიფიკატი გაიცემა თურქეთის ან მაროკოს საბაჟო უწყების მიერ, თუ პროდუქტი ჩაითვლება წარმოშობილად თურქეთში ან მაროკოში, კუმულაციის </w:t>
      </w:r>
      <w:r>
        <w:rPr>
          <w:rFonts w:ascii="Sylfaen" w:eastAsia="Times New Roman" w:hAnsi="Sylfaen" w:cs="Sylfaen"/>
          <w:noProof/>
          <w:sz w:val="24"/>
          <w:szCs w:val="24"/>
          <w:lang w:eastAsia="x-none"/>
        </w:rPr>
        <w:lastRenderedPageBreak/>
        <w:t xml:space="preserve">გამოყენებით, რომელიც გათვალისწინებულია წინამდებარე დანართის მე-2 და მე-3 მუხლებით და თუ ისინი ასრულებენ I დამატებით დადგენილ სხვა მოთხოვნებს.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I დანართის 21(2) და (3) მუხლისთვის ზიანის მიყენების გარეშე, წარმოშობის დეკლარაცია შედგენილ იქნება, თუ შესაბამისი პროდუქცია ჩაითვლება წარმოშობილად თურქეთში ან მაროკოში, კუმულაციის გამოყენებით, რომელიც გათვალისწინებულია წინამდებარე დანართის მე-2 და მე-3 მუხლებით თუ ისინი ასრულებენ I დამატებით დადგენილ სხვა მოთხოვნებს.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როდესაც გაიცემა EUR.1 გადაადგილების სერთიფიკატი ან შედგება წარმოშობის დეკლარაცია თურქეთში ან მაროკოში წარმოშობის პროდუქციისთვის, რომელთა წარმოებისას საქონელი მოდის ალჟირიდან, მაროკოდან, ტუნისიდან ან თურქეთიდან, რომელთაც გაიარეს დამუშავება-გადამუშავების პროცედურები ამ ქვეყნებში პრეფერენციული წარმოშობის სტატუსის მოპოვების გარეშე, ყურადღება უნდა გამახვილდეს მიმწოდებლის დეკლარაციაზე, რომელიც გაიცა ამ საქონლისთვის წინამდებარე მუხლის შესაბამისად.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პირველ პუნქტში მოხსენიებული მიმწოდებლის დეკლარაცია მიიჩნევა დამუშავება-გადამუშავების პროცესის დამადასტურებელ დოკუმენტად, რომელიც განხორციელდა ალჟირში, მაროკოში, ტუნისში ან თურქეთში შესაბამისი საქონლის მიმართ იმის განსასაზღვრად, რომ პროდუქცია, რომლის საწარმოებლადაც გამოიყენება ეს საქონელი, შესაძლოა ჩაითვალოს წარმოშობილად თურქეთში ან მაროკოში და შეასრულოს I დამატებით დადგენილი სხვა მოთხოვნები.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ცალკე მიმწოდებლის დეკლარაცია, გარდა მე-4 პუნქტით განსაზღვრული შემთხვევებისა, შედგენილ იქნება მიმწოდებლის მიერ თითოეული პარტიისთვის C დანართში გაწერილი ფორმის შესაბამისად, ფურცელზე, რომელიც თან ერთვის ანგარიშფაქტურას, მიწოდების შესახებ შეტყობინებას ან ნებისმიერ სხვა კომერციულ დოკუმენტს, რომელიც მოიცავს შესაბამისი საქონლის აღწერილობას საკმარისად დეტალურად მათი იდენტიფიცირების მიზნით.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როდესაც მიმწოდებელი რეგულარულად უზრუნველყოფს კონკრეტულ მომხმარებელს საქონლით, რომლის მიმართაც არსებობს მოლოდინი, რომ ალჟირში, მაროკოში, ტუნისში ან თურქეთში განხორციელებული დამუშავება-გადამუშავების პროცესი გაგრძელდება გარკეული პერიოდის განმავლობაში, მიმწოდებელს შეუძლია წარმოადგინოს ერთიანი მიმწოდებლის დეკლარაცია, რათა მოიცვას ამ საქონლის შემდგომი პარტიები (შემდგომში წოდებული, როგორც „მიმწოდებლის გრძელვადიანი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მიმწოდებლის გრძელვადიანი დეკლარაცია შესაძლოა ჩვეულებრივ მოქმედებდეს დეკლარაციის შედგენიდან ერთ წლამდე პერიოდის განმავლობაში. იმ ქვეყნის საბაჟო </w:t>
      </w:r>
      <w:r>
        <w:rPr>
          <w:rFonts w:ascii="Sylfaen" w:eastAsia="Times New Roman" w:hAnsi="Sylfaen" w:cs="Sylfaen"/>
          <w:noProof/>
          <w:sz w:val="24"/>
          <w:szCs w:val="24"/>
          <w:lang w:eastAsia="x-none"/>
        </w:rPr>
        <w:lastRenderedPageBreak/>
        <w:t xml:space="preserve">უწყება, რომელშიც მოხდა დეკლარაციის შედგენა, განსაზღვრავს მისი მეტი ხნით გაგრძელების პირობებს.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გრძელვადიანი დეკლარაცია შესაძლოა შედგენილ იქნეს D დანართით გაწერილი ფორმის შესაბამისად და აღწერს შესაბამის საქონელს საკმარისად დეტალურად მათი იდენტიფიცირების მიზნით. დეკლარაცია მიეწოდება შესაბამის მომხმარებელს სანამ მას მიეწოდება ამ დეკლარაციით მოცული ტვირთის პირველი პარტია ან მის პირველ პარტიასთან ერთად.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თავის მომხმარებელს დაუყოვნებლივ შეატყობინებს, თუ მიმწოდებლის გრძელვადიანი დეკლარაცია აღარ გამოიყენება მიწოდებული საქონლის მიმართ.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მე-3 და მე-4 პუნქტებში ნახსენები მიმწოდებლის დეკლარაციები დაიბეჭდება შეთანხმების ერთ-ერთ ენაზე, იმ ქვეყნის შიდა სამართლის შესაბამისად, სადაც იქნა დეკლარაცია შედგენილი და თან დაერთვება მიმწოდებლის ხელმოწერა. დეკლარაცია ასევე შესაძლოა შეივსოს ხელით; ამ შემთხვევაში, იგი შეივსება მელნით ან ბეჭდური ფორმით.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მიმწოდებელი, რომელიც ადგენს დეკლარაციას, მზად უნდა იყოს, ნებისმიერ დროს, იმ ქვეყნის საბაჟოს უწყების მოთხოვნით, სადაც შედგა დეკლარაცია, რომ წარადგინოს ყველა აუცილებელი დოკუმენტი, რომელიც დაადასტურებს მოცემულ დეკლარაციაში აღწერილი ინფორმაციის სისწორეს.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თანმხლები დოკუმენტაცია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დეკლარაციები, რომლებიც ადასტურებენ დამუშავება-გადამუშავების პროცედურებს, რომელიც განხორციელდა თურქეთში, ალჟირში, მაროკოში ან ტუნისში იმ მასალებით, რომლებიც გამოიყენება, შედგება ერთ-ერთ ამ ქვეყანაში, უნდა აღიქმებოდეს, როგორც I დანართის 16(3) და 21(5) მუხლებით და წინამდებარე დანართის 5(6) მუხლით გათვალისწინებული დოკუმენტი, რომელიც გამოიყენება იმის დასადასტურებლად, რომ EUR.1 გადაადგილების სერთიფიკატით ან წარმოშობის დეკლარაციით მოცული პროდუქცია შესაძლოა ჩაითვალოს თურქეთში ან მაროკოში წარმოშობილ პროდუქციად და შეასრულებს I დამატებით გათვალისწინებული მოთხოვნები.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b/>
          <w:bCs/>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დეკლარაციების შენახვა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რომელიც ადგენს მიმწოდებლის დეკლარაციას, სულ ცოტა სამი წლის განმავლობაში შეინახავს დეკლააციისა და ყველა სხვა ანგარიშფაქტურის, მიწოდების შესახებ შეტყობინებისა თუ სხვა კომერციული დოკუმენტების ასლებს, რომელთაც ერთვის აღნიშნული დეკლარაცია და ასევე 5(6) მუხლით გათვალისწინებული დოკუმენტაცია.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მიმწოდებელი, რომელიც ადგენს გრძელვადიან მიმწოდებლის დეკლარაციას, სულ ცოტა სამი წლის განმავლობაში შეინახავს დეკლარაციისა და ყველა სხვა ანგარიშფაქტურის, მიწოდების შესახებ შეტყობინებისა თუ სხვა კომერციული დოკუმენტების ასლებს, რომლებიც ეხება ამ დეკლარაციით მოცულ საქონელს, რომელიც გადაეგზავნა შესაბამის მომხმარებელს, ასევე 5(6) მუხლით გათვალისწინებული დოკუმენტაცია. აღნიშნული პერიოდის ათვლა დაიწყება მიმწოდებლის გრძელვადიანი დეკლარაციის ვადის გასვლის თარიღიდან.</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b/>
          <w:bCs/>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ადმინისტრაციული თანამშრომლობა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წინამდებარე დანართის სათანადოდ გამოყენების უზრუნველყოფის მიზნით, თურქეთი და მაროკო დახმარებას გაუწევენ ერთმანეთს, კომპეტენტური საბაჟო უწყებების მეშვეობით, EUR.1 გადაადგილების სერტიფიკატის, წარმოშობის დეკლარაციების ან მიმწოდებლის დეკლარაციების ნამდვილობის და ამ დოკუმენტებში მოცემული ინფორმაციის სისწორის შემოწმებაში.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დეკლარაციების შემოწმება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მიმწოდებლის დეკლარაციების ან მიმწოდებლის გრძელვადიანი დეკლარაციების შემდგომი შემოწმება განხორციელდება არასისტემურად ან მაშინ, როდესაც იმ ქვეყნის საბაჟო უწყებას, სადაც ამგვარი დეკლარაციების მიერ გათვალისწინებულ იქნა EUR.1 გადაადგილების სერტიფიკატის გაცემა ან წარმოშობის დეკლარაციის შედგენა, გაუჩნდება გონივრული საფუძველი, ეჭვი შეიტანოს დოკუმენტების ნამდვილობაში ან აღნიშნული დოკუმენტით წარმოდგენილი ინფორმაციის სისწორეში.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2. </w:t>
      </w:r>
      <w:r>
        <w:rPr>
          <w:rFonts w:ascii="Sylfaen" w:eastAsia="Times New Roman" w:hAnsi="Sylfaen" w:cs="Sylfaen"/>
          <w:noProof/>
          <w:sz w:val="24"/>
          <w:szCs w:val="24"/>
          <w:lang w:eastAsia="x-none"/>
        </w:rPr>
        <w:t>პირველი პუნქტის დებულებების შესრულების მიზნით, პირველ პუნქტში ხსენებული ქვეყნის საბაჟო უწყება მიმწოდებლის დეკლარაციებს ან მიმწოდებლის გრძელვადიან დეკლარაციებს და ანგარიშფაქტურას, მიწოდების შესახებ შეტყობინებას ან სხვა კომერციულ დოკუმენტაციას, რომელიც ეხება ამ დეკლარაციით მოცულ საქონელს, დაუბრუნებს იმ ქვეყნის საბაჟო უწყება, სადაც შედგენილ იქნა დეკლარაცია, და, საჭიროების შემთხვევაში, წარადგენს შემოწმების მოთხოვნის არსისა თუ ფორმის საფუძვლებს.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შემდგომი შემოწმების მოთხოვნის გასამყარებლად, ისინი ასევე გადააგზავნიან ნებისმიერ დოკუმენტაციასა თუ ინფორმაციას, რომელიც მოპოვებულ იქნა და ადასტურებს მიმწოდებლის დეკლარაციასა თუ მიმწოდებლის გრძლევადიან დეკლარაციაში მოცემული ინფორმაციის სისწორეს.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შემოწმება ჩატარდება იმ ქვეყნის საბაჟო უწყების მიერ, სადაც შედგენილ იქნა მიმწოდებლის დეკლარაცია ან მიმწოდებლის გრძლევადიანი დეკლარაცია. ამისათვის, მათ ექნებათ ნებისმიერი მტკიცებულების მოთხოვნის და მიმწოდებლების </w:t>
      </w:r>
      <w:r>
        <w:rPr>
          <w:rFonts w:ascii="Sylfaen" w:eastAsia="Times New Roman" w:hAnsi="Sylfaen" w:cs="Sylfaen"/>
          <w:noProof/>
          <w:sz w:val="24"/>
          <w:szCs w:val="24"/>
          <w:lang w:eastAsia="x-none"/>
        </w:rPr>
        <w:lastRenderedPageBreak/>
        <w:t>ანგარიშების ნებისმიერი ინსპექციის (და ყველა სხვა აუცილებელი შემოწმების) ჩატარების უფლება.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შემოწმების მომთხოვნ საბაჟო უწყებას სასწრაფოდ მიეწოდება აღნიშნული შემოწმების შედეგები. ამ შედეგებში მკაფიოდ უნდა იყოს მოცემული არის თუ არა სწორი მიმწოდებლის დეკლარაციაში ან მიმწოდებლის გრძლევადიან დეკლარაციაში მოცემული ინფორმაცია. აღნიშნულმა შედეგებმა შესაძლებელი უნდა გახადოს, განსაზღვრონ უნდა იქნეს თუ არა და რა დოზით უნდა იქნეს გათვალისწინებული ამგვარი დეკლარაცია EUR.1 გადაადგილების სერთიფიკატის გაცემისთვის ან წარმოშობის დეკლარაციის შესადგენად.</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სანქციები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ჯარიმები შესაძლოა დაეკისროს ნებისმიერ პირს, რომელიც ადგენს დოკუმენტს, რომელიც მოიცავს არასწორ ინფორმაციას პროდუქციის მიმართ პრეფერენციული მოპყრობის მიღების მიზნებისთვის.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თავისუფალი ზონები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თურქეთი და მაროკო მიიღებენ ყველა აუცილებელ ზომას იმის უზრუნველსაყოფად, რომ წარმოშობის სერტიფიკატის მქონე ის სავაჭრო პროდუქცია, რომელიც ტრანსპორტირებისას გამოიყენებს მათ ტერიტორიებზე არსებულ თავისუფალ ზონებს, არ იყოს ჩანაცვლებული სხვა საქონლით და არ დაექვემდებაროს რაიმე ქმედებებს გარდა ჩვეულებრივი ოპერაციებისა, რომლებიც გამიზნულია მათი გაფუჭებისგან დასაცავად.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ამ მუხლის პირველი პუნქტის დებულებებისგან გადახვევის საფუძველზე, როდესაც თურქეთის და მაროკოს ტერიტორიაზე წარმოშობილი წარმოშობის სერტიფიკატის მქონე პროდუქცია იმპორტირებულია თავისუფალ ზონაში და განიცდის დამუშავება-გადამუშავებას, შესაბამისმა ხელისუფლებამ უნდა გასცეს ახალი EUR.1 გადაადგილების სერტიფიკატი ექსპორტიორის თხოვნით, თუ ზემოხსენებული დამუშავება-გადამუშავება შეესაბამება წინამდებარე კონვენციის დებულებებს.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X</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ვაჭრობა თურქეთის რესპუბლიკასა და ტუნისის რესპუბლიკას შორის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პროდუქცია, რომელმაც მიიღო წარმოშობა წინამდებარე დანართით გათვალისწინებული დებულებების გამოყენების შედეგად, გათავისუფლდება კუმულაციისგან, როგორც ეს განსაზღვრულია I დანართის მე-3 მუხლით.</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კუმულაცია თურქეთში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I </w:t>
      </w:r>
      <w:r>
        <w:rPr>
          <w:rFonts w:ascii="Sylfaen" w:eastAsia="Times New Roman" w:hAnsi="Sylfaen" w:cs="Sylfaen"/>
          <w:noProof/>
          <w:sz w:val="24"/>
          <w:szCs w:val="24"/>
          <w:lang w:eastAsia="x-none"/>
        </w:rPr>
        <w:t>დანართის 2(1)(b) მუხლის დებულებების იმპლემენტაციის მიზნებისთვის, დამუშავება-გადამუშავების პროცესი, რომელიც ხორციელდება ალჟირში, მაროკოში, ან ტუნისში, ჩაითვლება თურქეთში განხორციელებულად, როდესაც მიღებული პროდუქცია გადის შემდგომ დამუშავებას ან გადამუშავებას თურქეთში. როდესაც, წინამდებარე დებულების შესაბამისად, წარმოშობილი პროდუქცია მიღებულია შესაბამის ორ ან მეტ ქვეყანაში, იგი ჩაითვლება თურქეთში წარმოშობილად მხოლოდ იმ შემთხვევაში, თუ დამუშავება-გადამუშავების პროცესი აღემატება I დანართის მე-6 მუხლით გათვალისწინებულს.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კუმულაცია ტუნისში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I </w:t>
      </w:r>
      <w:r>
        <w:rPr>
          <w:rFonts w:ascii="Sylfaen" w:eastAsia="Times New Roman" w:hAnsi="Sylfaen" w:cs="Sylfaen"/>
          <w:noProof/>
          <w:sz w:val="24"/>
          <w:szCs w:val="24"/>
          <w:lang w:eastAsia="x-none"/>
        </w:rPr>
        <w:t>დანართის 2(1)(b) მუხლის დებულებების იმპლემენტაციის მიზნებისთვის, დამუშავება-გადამუშავების პროცესი, რომელიც ხორციელდება თურქეთში, ალჟირში, ან მაროკოში, ჩაითვლება ტუნისში განხორციელებულად, როდესაც მიღებული პროდუქცია გადის შემდგომ დამუშავებას ან გადამუშავებას ტუნისში. როდესაც, წინამდებარე დებულების შესაბამისად, წარმოშობილი პროდუქცია მიღებულია შესაბამის ორ ან მეტ ქვეყანაში, იგი ჩაითვლება ტუნისში წარმოშობილად მხოლოდ იმ შემთხვევაში, თუ დამუშავება-გადამუშავების პროცესი აღემატება I დანართის მე-6 მუხლით გათვალისწინებულს.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წარმოშობის სერთიფიკატი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I </w:t>
      </w:r>
      <w:r>
        <w:rPr>
          <w:rFonts w:ascii="Sylfaen" w:eastAsia="Times New Roman" w:hAnsi="Sylfaen" w:cs="Sylfaen"/>
          <w:noProof/>
          <w:sz w:val="24"/>
          <w:szCs w:val="24"/>
          <w:lang w:eastAsia="x-none"/>
        </w:rPr>
        <w:t xml:space="preserve">დანართის 16(4) და (5) მუხლისთვის ზიანის მიყენების გარეშე, EUR.1 გადაადგილების სერთიფიკატი გაიცემა თურქეთის ან ტუნისის საბაჟო უწყების მიერ, თუ პროდუქტი ჩაითვლება წარმოშობილად თურქეთში ან ტუნისში, კუმულაციის გამოყენებით, რომელიც გათვალისწინებულია წინამდებარე დანართის მე-2 და მე-3 მუხლებით და თუ ისინი ასრულებენ I დამატებით დადგენილ სხვა მოთხოვნებს.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I დანართის 21(2) და (3) მუხლისთვის ზიანის მიყენების გარეშე, წარმოშობის დეკლარაცია შედგენილ იქნება, თუ შესაბამისი პროდუქცია ჩაითვლება წარმოშობილად თურქეთში ან ტუნისში, კუმულაციის გამოყენებით, რომელიც გათვალისწინებულია წინამდებარე დანართის მე-2 და მე-3 მუხლებით თუ ისინი ასრულებენ I დამატებით დადგენილ სხვა მოთხოვნებს.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lastRenderedPageBreak/>
        <w:t xml:space="preserve">1. </w:t>
      </w:r>
      <w:r>
        <w:rPr>
          <w:rFonts w:ascii="Sylfaen" w:eastAsia="Times New Roman" w:hAnsi="Sylfaen" w:cs="Sylfaen"/>
          <w:noProof/>
          <w:sz w:val="24"/>
          <w:szCs w:val="24"/>
          <w:lang w:eastAsia="x-none"/>
        </w:rPr>
        <w:t>როდესაც გაიცემა EUR.1 გადაადგილების სერთიფიკატი ან შედგება წარმოშობის დეკლარაცია თურქეთში ან ტუნისში წარმოშობის პროდუქციისთვის, რომელთა წარმოებისას საქონელი მოდის ალჟირიდან, მაროკოდან, ტუნისიდან ან თურქეთიდან, რომელთაც გაიარეს დამუშავება-გადამუშავების პროცედურები ამ ქვეყნებში პრეფერენციული წარმოშობის სტატუსის მოპოვების გარეშე, ყურადღება უნდა გამახვილდეს მიმწოდებლის დეკლარაციაზე, რომელიც გაიცა ამ საქონლისთვის წინამდებარე მუხლის შესაბამისად.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პირველ პუნქტში მოხსენიებული მიმწოდებლის დეკლარაცია მიიჩნევა დამუშავება-გადამუშავების პროცესის დამადასტურებელ დოკუმენტად, რომელიც განხორციელდა ალჟირში, მაროკოში, ტუნისში ან თურქეთში შესაბამისი საქონლის მიმართ იმის განსასაზღვრად, რომ პროდუქცია, რომლის საწარმოებლადაც გამოიყენება ეს საქონელი, შესაძლოა ჩაითვალოს წარმოშობილად თურქეთში ან ტუნისში და შეასრულოს I დამატებით დადგენილი სხვა მოთხოვნები.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ცალკე მიმწოდებლის დეკლარაცია, გარდა მე-4 პუნქტით განსაზღვრული შემთხვევებისა, შედგენილ იქნება მიმწოდებლის მიერ თითოეული პარტიისთვის C დანართში გაწერილი ფორმის შესაბამისად, ფურცელზე, რომელიც თან ერთვის ანგარიშფაქტურას, მიწოდების შესახებ შეტყობინებას ან ნებისმიერ სხვა კომერციულ დოკუმენტს, რომელიც მოიცავს შესაბამისი საქონლის აღწერილობას საკმარისად დეტალურად მათი იდენტიფიცირების მიზნით.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როდესაც მიმწოდებელი რეგულარულად უზრუნველყოფს კონკრეტულ მომხმარებელს საქონლით, რომლის მიმართაც არსებობს მოლოდინი, რომ ალჟირში, მაროკოში, ტუნისში ან თურქეთში განხორციელებული დამუშავება-გადამუშავების პროცესი გაგრძელდება გარკეული პერიოდის განმავლობაში, მიმწოდებელს შეუძლია წარმოადგინოს ერთიანი მიმწოდებლის დეკლარაცია, რათა მოიცვას ამ საქონლის შემდგომი პარტიები (შემდგომში წოდებული, როგორც „მიმწოდებლის გრძელვადიანი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მიმწოდებლის გრძელვადიანი დეკლარაცია შესაძლოა ჩვეულებრივ მოქმედებდეს დეკლარაციის შედგენიდან ერთ წლამდე პერიოდის განმავლობაში. იმ ქვეყნის საბაჟო უწყება, რომელშიც მოხდა დეკლარაციის შედგენა, განსაზღვრავს მისი მეტი ხნით გაგრძელების პირობებს.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გრძელვადიანი დეკლარაცია შესაძლოა შედგენილ იქნეს D დანართით გაწერილი ფორმის შესაბამისად და აღწერს შესაბამის საქონელს საკმარისად დეტალურად მათი იდენტიფიცირების მიზნით. დეკლარაცია მიეწოდება შესაბამის მომხმარებელს სანამ მას მიეწოდება ამ დეკლარაციით მოცული ტვირთის პირველი პარტია ან მის პირველ პარტიასთან ერთად.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თავის მომხმარებელს დაუყოვნებლივ შეატყობინებს, თუ მიმწოდებლის გრძელვადიანი დეკლარაცია აღარ გამოიყენება მიწოდებული საქონლის მიმართ.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მე-3 და მე-4 პუნქტებში ნახსენები მიმწოდებლის დეკლარაციები დაიბეჭდება შეთანხმების ერთ-ერთ ენაზე, იმ ქვეყნის შიდა სამართლის შესაბამისად, სადაც იქნა დეკლარაცია შედგენილი და თან დაერთვება მიმწოდებლის ხელმოწერა. დეკლარაცია ასევე შესაძლოა შეივსოს ხელით; ამ შემთხვევაში, იგი შეივსება მელნით ან ბეჭდური ფორმით.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მიმწოდებელი, რომელიც ადგენს დეკლარაციას, მზად უნდა იყოს, ნებისმიერ დროს, იმ ქვეყნის საბაჟოს უწყების მოთხოვნით, სადაც შედგა დეკლარაცია, რომ წარადგინოს ყველა აუცილებელი დოკუმენტი, რომელიც დაადასტურებს მოცემულ დეკლარაციაში აღწერილი ინფორმაციის სისწორეს.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თანმხლები დოკუმენტაცია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დეკლარაციები, რომლებიც ადასტურებენ დამუშავება-გადამუშავების პროცედურებს, რომელიც განხორციელდა თურქეთში, ალჟირში, მაროკოში ან ტუნისში იმ მასალებით, რომლებიც გამოიყენება, შედგება ერთ-ერთ ამ ქვეყანაში, უნდა აღიქმებოდეს, როგორც I დანართის 16(3) და 21(5) მუხლებით და წინამდებარე დანართის 5(6) მუხლით გათვალისწინებული დოკუმენტი, რომელიც გამოიყენება იმის დასადასტურებლად, რომ EUR.1 გადაადგილების სერთიფიკატით ან წარმოშობის დეკლარაციით მოცული პროდუქცია შესაძლოა ჩაითვალოს თურქეთში ან ტუნისში წარმოშობილ პროდუქციად და შეასრულებს I დამატებით გათვალისწინებული მოთხოვნები.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დეკლარაციების შენახვა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რომელიც ადგენს მიმწოდებლის დეკლარაციას, სულ ცოტა სამი წლის განმავლობაში შეინახავს დეკლააციისა და ყველა სხვა ანგარიშფაქტურის, მიწოდების შესახებ შეტყობინებისა თუ სხვა კომერციული დოკუმენტების ასლებს, რომელთაც ერთვის აღნიშნული დეკლარაცია და ასევე 5(6) მუხლით გათვალისწინებული დოკუმენტაცია.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რომელიც ადგენს გრძელვადიან მიმწოდებლის დეკლარაციას, სულ ცოტა სამი წლის განმავლობაში შეინახავს დეკლარაციისა და ყველა სხვა ანგარიშფაქტურის, მიწოდების შესახებ შეტყობინებისა თუ სხვა კომერციული დოკუმენტების ასლებს, რომლებიც ეხება ამ დეკლარაციით მოცულ საქონელს, რომელიც გადაეგზავნა შესაბამის მომხმარებელს, ასევე 5(6) მუხლით გათვალისწინებული დოკუმენტაცია. აღნიშნული პერიოდის ათვლა დაიწყება მიმწოდებლის გრძელვადიანი დეკლარაციის ვადის გასვლის თარიღიდან.</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ადმინისტრაციული თანამშრომლობა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წინამდებარე დანართის სათანადოდ გამოყენების უზრუნველყოფის მიზნით, თურქეთი და ტუნისი დახმარებას გაუწევენ ერთმანეთს, კომპეტენტური საბაჟო უწყებების მეშვეობით, EUR.1 გადაადგილების სერტიფიკატის, წარმოშობის დეკლარაციების ან მიმწოდებლის დეკლარაციების ნამდვილობის და ამ დოკუმენტებში მოცემული ინფორმაციის სისწორის შემოწმებაში.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დეკლარაციების შემოწმება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მიმწოდებლის დეკლარაციების ან მიმწოდებლის გრძელვადიანი დეკლარაციების შემდგომი შემოწმება განხორციელდება არასისტემურად ან მაშინ, როდესაც იმ ქვეყნის საბაჟო უწყებას, სადაც ამგვარი დეკლარაციების მიერ გათვალისწინებულ იქნა EUR.1 გადაადგილების სერტიფიკატის გაცემა ან წარმოშობის დეკლარაციის შედგენა, გაუჩნდება გონივრული საფუძველი, ეჭვი შეიტანოს დოკუმენტების ნამდვილობაში ან აღნიშნული დოკუმენტით წარმოდგენილი ინფორმაციის სისწორეში.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პირველი პუნქტის დებულებების შესრულების მიზნით, პირველ პუნქტში ხსენებული ქვეყნის საბაჟო უწყება მიმწოდებლის დეკლარაციებს ან მიმწოდებლის გრძელვადიან დეკლარაციებს და ანგარიშფაქტურას, მიწოდების შესახებ შეტყობინებას ან სხვა კომერციულ დოკუმენტაციას, რომელიც ეხება ამ დეკლარაციით მოცულ საქონელს, დაუბრუნებს იმ ქვეყნის საბაჟო უწყება, სადაც შედგენილ იქნა დეკლარაცია, და, საჭიროების შემთხვევაში, წარადგენს შემოწმების მოთხოვნის არსისა თუ ფორმის საფუძვლებს.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შემდგომი შემოწმების მოთხოვნის გასამყარებლად, ისინი ასევე გადააგზავნიან ნებისმიერ დოკუმენტაციასა თუ ინფორმაციას, რომელიც მოპოვებულ იქნა და ადასტურებს მიმწოდებლის დეკლარაციასა თუ მიმწოდებლის გრძლევადიან დეკლარაციაში მოცემული ინფორმაციის სისწორეს.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შემოწმება ჩატარდება იმ ქვეყნის საბაჟო უწყების მიერ, სადაც შედგენილ იქნა მიმწოდებლის დეკლარაცია ან მიმწოდებლის გრძლევადიანი დეკლარაცია. ამისათვის, მათ ექნებათ ნებისმიერი მტკიცებულების მოთხოვნის და მიმწოდებლების ანგარიშების ნებისმიერი ინსპექციის (და ყველა სხვა აუცილებელი შემოწმების) ჩატარების უფლება.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შემოწმების მომთხოვნ საბაჟო უწყებას სასწრაფოდ მიეწოდება აღნიშნული შემოწმების შედეგები. ამ შედეგებში მკაფიოდ უნდა იყოს მოცემული არის თუ არა სწორი მიმწოდებლის დეკლარაციაში ან მიმწოდებლის გრძლევადიან დეკლარაციაში მოცემული ინფორმაცია. აღნიშნულმა შედეგებმა შესაძლებელი უნდა გახადოს, განსაზღვრონ უნდა იქნეს თუ არა და რა დოზით უნდა იქნეს გათვალისწინებული ამგვარი დეკლარაცია EUR.1 გადაადგილების სერთიფიკატის გაცემისთვის ან წარმოშობის დეკლარაციის შესადგენად.</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lastRenderedPageBreak/>
        <w:t>სანქციები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ჯარიმები შესაძლოა დაეკისროს ნებისმიერ პირს, რომელიც ადგენს დოკუმენტს, რომელიც მოიცავს არასწორ ინფორმაციას პროდუქციის მიმართ პრეფერენციული მოპყრობის მიღების მიზნებისთვის.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თავისუფალი ზონები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თურქეთი და ტუნისი მიიღებენ ყველა აუცილებელ ზომას იმის უზრუნველსაყოფად, რომ წარმოშობის სერტიფიკატის მქონე ის სავაჭრო პროდუქცია, რომელიც ტრანსპორტირებისას გამოიყენებს მათ ტერიტორიებზე არსებულ თავისუფალ ზონებს, არ იყოს ჩანაცვლებული სხვა საქონლით და არ დაექვემდებაროს რაიმე ქმედებებს გარდა ჩვეულებრივი ოპერაციებისა, რომლებიც გამიზნულია მათი გაფუჭებისგან დასაცავად.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ამ მუხლის პირველი პუნქტის დებულებებისგან გადახვევის საფუძველზე, როდესაც თურქეთის და ტუნისის ტერიტორიაზე წარმოშობილი წარმოშობის სერტიფიკატის მქონე პროდუქცია იმპორტირებულია თავისუფალ ზონაში და განიცდის დამუშავება-გადამუშავებას, შესაბამისმა ხელისუფლებამ უნდა გასცეს ახალი EUR.1 გადაადგილების სერტიფიკატი ექსპორტიორის თხოვნით, თუ ზემოხსენებული დამუშავება-გადამუშავება შეესაბამება წინამდებარე კონვენციის დებულებებს.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XI</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ვაჭრობა ევროპის თავისუფალი ვაჭრობის ასოციაციის სახელმწიფოებსა და ტუნისის რესპუბლიკას შორის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პროდუქცია, რომელმაც მიიღო წარმოშობა წინამდებარე დანართით გათვალისწინებული დებულებების გამოყენების შედეგად, გათავისუფლდება კუმულაციისგან, როგორც ეს განსაზღვრულია I დანართის მე-3 მუხლით.</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კუმულაცია ევროპის თავისუფალი ვაჭრობის ასოციაციის სახელმწიფოებში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I </w:t>
      </w:r>
      <w:r>
        <w:rPr>
          <w:rFonts w:ascii="Sylfaen" w:eastAsia="Times New Roman" w:hAnsi="Sylfaen" w:cs="Sylfaen"/>
          <w:noProof/>
          <w:sz w:val="24"/>
          <w:szCs w:val="24"/>
          <w:lang w:eastAsia="x-none"/>
        </w:rPr>
        <w:t xml:space="preserve">დანართის 2(1)(b) მუხლის დებულებების იმპლემენტაციის მიზნებისთვის, დამუშავება-გადამუშავების პროცესი, რომელიც ხორციელდება ტუნისში, ჩაითვლება ევროპის თავისუფალი ვაჭრობის ასოციაციის სახელმწიფოში განხორციელებულად, როდესაც მიღებული პროდუქცია გადის შემდგომ დამუშავებას ან გადამუშავებას ევროპის თავისუფალი ვაჭრობის ასოციაციის სახელმწიფოში. როდესაც, წინამდებარე დებულების შესაბამისად, წარმოშობილი პროდუქცია მიღებულია შესაბამის ორ ან მეტ ქვეყანაში, იგი ჩაითვლება ევროპის თავისუფალი ვაჭრობის ასოციაციის </w:t>
      </w:r>
      <w:r>
        <w:rPr>
          <w:rFonts w:ascii="Sylfaen" w:eastAsia="Times New Roman" w:hAnsi="Sylfaen" w:cs="Sylfaen"/>
          <w:noProof/>
          <w:sz w:val="24"/>
          <w:szCs w:val="24"/>
          <w:lang w:eastAsia="x-none"/>
        </w:rPr>
        <w:lastRenderedPageBreak/>
        <w:t>სახელმწიფოში წარმოშობილად მხოლოდ იმ შემთხვევაში, თუ დამუშავება-გადამუშავების პროცესი აღემატება I დანართის მე-6 მუხლით გათვალისწინებულს.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კუმულაცია ტუნისში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I </w:t>
      </w:r>
      <w:r>
        <w:rPr>
          <w:rFonts w:ascii="Sylfaen" w:eastAsia="Times New Roman" w:hAnsi="Sylfaen" w:cs="Sylfaen"/>
          <w:noProof/>
          <w:sz w:val="24"/>
          <w:szCs w:val="24"/>
          <w:lang w:eastAsia="x-none"/>
        </w:rPr>
        <w:t>დანართის 2(1)(b) მუხლის დებულებების იმპლემენტაციის მიზნებისთვის, დამუშავება-გადამუშავების პროცესი, რომელიც ხორციელდება ევროპის თავისუფალი ვაჭრობის ასოციაციის სახელმწიფოში, ჩაითვლება ტუნისში განხორციელებულად, როდესაც მიღებული პროდუქცია გადის შემდგომ დამუშავებას ან გადამუშავებას ტუნისში. როდესაც, წინამდებარე დებულების შესაბამისად, წარმოშობილი პროდუქცია მიღებულია შესაბამის ორ ან მეტ ქვეყანაში, იგი ჩაითვლება ტუნისში წარმოშობილად მხოლოდ იმ შემთხვევაში, თუ დამუშავება-გადამუშავების პროცესი აღემატება I დანართის მე-6 მუხლით გათვალისწინებულს.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წარმოშობის სერთიფიკატი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I </w:t>
      </w:r>
      <w:r>
        <w:rPr>
          <w:rFonts w:ascii="Sylfaen" w:eastAsia="Times New Roman" w:hAnsi="Sylfaen" w:cs="Sylfaen"/>
          <w:noProof/>
          <w:sz w:val="24"/>
          <w:szCs w:val="24"/>
          <w:lang w:eastAsia="x-none"/>
        </w:rPr>
        <w:t xml:space="preserve">დანართის 16(4) და (5) მუხლისთვის ზიანის მიყენების გარეშე, EUR.1 გადაადგილების სერთიფიკატი გაიცემა ევროპის თავისუფალი ვაჭრობის ასოციაციის სახელმწიფოს ან ტუნისის საბაჟო უწყების მიერ, თუ პროდუქტი ჩაითვლება წარმოშობილად ევროპის თავისუფალი ვაჭრობის ასოციაციის სახელმწიფოში ან ტუნისში, კუმულაციის გამოყენებით, რომელიც გათვალისწინებულია წინამდებარე დანართის მე-2 და მე-3 მუხლებით და თუ ისინი ასრულებენ I დამატებით დადგენილ სხვა მოთხოვნებს.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I დანართის 21(2) და (3) მუხლისთვის ზიანის მიყენების გარეშე, წარმოშობის დეკლარაცია შედგენილ იქნება, თუ შესაბამისი პროდუქცია ჩაითვლება წარმოშობილად ევროპის თავისუფალი ვაჭრობის ასოციაციის სახელმწიფოში ან ტუნისში, კუმულაციის გამოყენებით, რომელიც გათვალისწინებულია წინამდებარე დანართის მე-2 და მე-3 მუხლებით თუ ისინი ასრულებენ I დამატებით დადგენილ სხვა მოთხოვნებს.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 xml:space="preserve">როდესაც გაიცემა EUR.1 გადაადგილების სერთიფიკატი ან შედგება წარმოშობის დეკლარაცია ევროპის თავისუფალი ვაჭრობის ასოციაციის სახელმწიფოში ან ტუნისში წარმოშობის პროდუქციისთვის, რომელთა წარმოებისას საქონელი მოდის ტუნისიდან ან ევროპის თავისუფალი ვაჭრობის ასოციაციის სახელმწიფოდან, რომელთაც გაიარეს დამუშავება-გადამუშავების პროცედურები ამ ქვეყნებში პრეფერენციული წარმოშობის სტატუსის მოპოვების გარეშე, ყურადღება უნდა გამახვილდეს </w:t>
      </w:r>
      <w:r>
        <w:rPr>
          <w:rFonts w:ascii="Sylfaen" w:eastAsia="Times New Roman" w:hAnsi="Sylfaen" w:cs="Sylfaen"/>
          <w:noProof/>
          <w:sz w:val="24"/>
          <w:szCs w:val="24"/>
          <w:lang w:eastAsia="x-none"/>
        </w:rPr>
        <w:lastRenderedPageBreak/>
        <w:t>მიმწოდებლის დეკლარაციაზე, რომელიც გაიცა ამ საქონლისთვის წინამდებარე მუხლის შესაბამისად.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პირველ პუნქტში მოხსენიებული მიმწოდებლის დეკლარაცია მიიჩნევა დამუშავება-გადამუშავების პროცესის დამადასტურებელ დოკუმენტად, რომელიც ტუნისში ან ევროპის თავისუფალი ვაჭრობის ასოციაციის სახელმწიფოში შესაბამისი საქონლის მიმართ იმის განსასაზღვრად, რომ პროდუქცია, რომლის საწარმოებლადაც გამოიყენება ეს საქონელი, შესაძლოა ჩაითვალოს წარმოშობილად ევროპის თავისუფალი ვაჭრობის ასოციაციის სახელმწიფოში ან ტუნისში და შეასრულოს I დამატებით დადგენილი სხვა მოთხოვნები.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ცალკე მიმწოდებლის დეკლარაცია, გარდა მე-4 პუნქტით განსაზღვრული შემთხვევებისა, შედგენილ იქნება მიმწოდებლის მიერ თითოეული პარტიისთვის E დანართში გაწერილი ფორმის შესაბამისად, ფურცელზე, რომელიც თან ერთვის ანგარიშფაქტურას, მიწოდების შესახებ შეტყობინებას ან ნებისმიერ სხვა კომერციულ დოკუმენტს, რომელიც მოიცავს შესაბამისი საქონლის აღწერილობას საკმარისად დეტალურად მათი იდენტიფიცირების მიზნით.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როდესაც მიმწოდებელი რეგულარულად უზრუნველყოფს კონკრეტულ მომხმარებელს საქონლით, რომლის მიმართაც არსებობს მოლოდინი, რომ ტუნისში ან ევროპის თავისუფალი ვაჭრობის ასოციაციის სახელმწიფოში განხორციელებული დამუშავება-გადამუშავების პროცესი გაგრძელდება გარკეული პერიოდის განმავლობაში, მიმწოდებელს შეუძლია წარმოადგინოს ერთიანი მიმწოდებლის დეკლარაცია, რათა მოიცვას ამ საქონლის შემდგომი პარტიები (შემდგომში წოდებული, როგორც „მიმწოდებლის გრძელვადიანი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მიმწოდებლის გრძელვადიანი დეკლარაცია შესაძლოა ჩვეულებრივ მოქმედებდეს დეკლარაციის შედგენიდან ერთ წლამდე პერიოდის განმავლობაში. იმ ქვეყნის საბაჟო უწყება, რომელშიც მოხდა დეკლარაციის შედგენა, განსაზღვრავს მისი მეტი ხნით გაგრძელების პირობებს.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გრძელვადიანი დეკლარაცია შესაძლოა შედგენილ იქნეს F დანართით გაწერილი ფორმის შესაბამისად და აღწერს შესაბამის საქონელს საკმარისად დეტალურად მათი იდენტიფიცირების მიზნით. დეკლარაცია მიეწოდება შესაბამის მომხმარებელს სანამ მას მიეწოდება ამ დეკლარაციით მოცული ტვირთის პირველი პარტია ან მის პირველ პარტიასთან ერთად.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თავის მომხმარებელს დაუყოვნებლივ შეატყობინებს, თუ მიმწოდებლის გრძელვადიანი დეკლარაცია აღარ გამოიყენება მიწოდებული საქონლის მიმართ.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მე-3 და მე-4 პუნქტებში ნახსენები მიმწოდებლის დეკლარაციები დაიბეჭდება შეთანხმების ერთ-ერთ ენაზე, იმ ქვეყნის შიდა სამართლის შესაბამისად, სადაც იქნა დეკლარაცია შედგენილი და თან დაერთვება მიმწოდებლის ხელმოწერა. დეკლარაცია ასევე შესაძლოა შეივსოს ხელით; ამ შემთხვევაში, იგი შეივსება მელნით ან ბეჭდური ფორმით.</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1. მიმწოდებელი, რომელიც ადგენს დეკლარაციას, მზად უნდა იყოს, ნებისმიერ დროს, იმ ქვეყნის საბაჟოს უწყების მოთხოვნით, სადაც შედგა დეკლარაცია, რომ წარადგინოს ყველა აუცილებელი დოკუმენტი, რომელიც დაადასტურებს მოცემულ დეკლარაციაში აღწერილი ინფორმაციის სისწორეს.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თანმხლები დოკუმენტაცია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დეკლარაციები, რომლებიც ადასტურებენ დამუშავება-გადამუშავების პროცედურებს, რომელიც განხორციელდა ევროპის თავისუფალი ვაჭრობის ასოციაციის სახელმწიფოებში ან ტუნისში იმ მასალებით, რომლებიც გამოიყენება, შედგება ერთ-ერთ ამ ქვეყანაში, უნდა აღიქმებოდეს, როგორც I დანართის 16(3) და 21(5) მუხლებით და წინამდებარე დანართის 5(6) მუხლით გათვალისწინებული დოკუმენტი, რომელიც გამოიყენება იმის დასადასტურებლად, რომ EUR.1 გადაადგილების სერთიფიკატით ან წარმოშობის დეკლარაციით მოცული პროდუქცია შესაძლოა ჩაითვალოს ევროპის თავისუფალი ვაჭრობის ასოციაციის სახელმწიფოში ან ტუნისში წარმოშობილ პროდუქციად და შეასრულებს I დამატებით გათვალისწინებული მოთხოვნები.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დეკლარაციების შენახვა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რომელიც ადგენს მიმწოდებლის დეკლარაციას, სულ ცოტა სამი წლის განმავლობაში შეინახავს დეკლააციისა და ყველა სხვა ანგარიშფაქტურის, მიწოდების შესახებ შეტყობინებისა თუ სხვა კომერციული დოკუმენტების ასლებს, რომელთაც ერთვის აღნიშნული დეკლარაცია და ასევე 5(6) მუხლით გათვალისწინებული დოკუმენტაცია.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მიმწოდებელი, რომელიც ადგენს გრძელვადიან მიმწოდებლის დეკლარაციას, სულ ცოტა სამი წლის განმავლობაში შეინახავს დეკლარაციისა და ყველა სხვა ანგარიშფაქტურის, მიწოდების შესახებ შეტყობინებისა თუ სხვა კომერციული დოკუმენტების ასლებს, რომლებიც ეხება ამ დეკლარაციით მოცულ საქონელს, რომელიც გადაეგზავნა შესაბამის მომხმარებელს, ასევე 5(6) მუხლით გათვალისწინებული დოკუმენტაცია. აღნიშნული პერიოდის ათვლა დაიწყება მიმწოდებლის გრძელვადიანი დეკლარაციის ვადის გასვლის თარიღიდან.</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ადმინისტრაციული თანამშრომლობა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წინამდებარე დანართის სათანადოდ გამოყენების უზრუნველყოფის მიზნით, ევროპის თავისუფალი ვაჭრობის ასოციაციის სახელმწიფოები და ტუნისი დახმარებას გაუწევენ ერთმანეთს, კომპეტენტური საბაჟო უწყებების მეშვეობით, EUR.1 გადაადგილების სერტიფიკატის, წარმოშობის დეკლარაციების ან მიმწოდებლის </w:t>
      </w:r>
      <w:r>
        <w:rPr>
          <w:rFonts w:ascii="Sylfaen" w:eastAsia="Times New Roman" w:hAnsi="Sylfaen" w:cs="Sylfaen"/>
          <w:noProof/>
          <w:sz w:val="24"/>
          <w:szCs w:val="24"/>
          <w:lang w:eastAsia="x-none"/>
        </w:rPr>
        <w:lastRenderedPageBreak/>
        <w:t>დეკლარაციების ნამდვილობის და ამ დოკუმენტებში მოცემული ინფორმაციის სისწორის შემოწმებაში.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დეკლარაციების შემოწმება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მიმწოდებლის დეკლარაციების ან მიმწოდებლის გრძელვადიანი დეკლარაციების შემდგომი შემოწმება განხორციელდება არასისტემურად ან მაშინ, როდესაც იმ ქვეყნის საბაჟო უწყებას, სადაც ამგვარი დეკლარაციების მიერ გათვალისწინებულ იქნა EUR.1 გადაადგილების სერტიფიკატის გაცემა ან წარმოშობის დეკლარაციის შედგენა, გაუჩნდება გონივრული საფუძველი, ეჭვი შეიტანოს დოკუმენტების ნამდვილობაში ან აღნიშნული დოკუმენტით წარმოდგენილი ინფორმაციის სისწორეში.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პირველი პუნქტის დებულებების შესრულების მიზნით, პირველ პუნქტში ხსენებული ქვეყნის საბაჟო უწყება მიმწოდებლის დეკლარაციებს ან მიმწოდებლის გრძელვადიან დეკლარაციებს და ანგარიშფაქტურას, მიწოდების შესახებ შეტყობინებას ან სხვა კომერციულ დოკუმენტაციას, რომელიც ეხება ამ დეკლარაციით მოცულ საქონელს, დაუბრუნებს იმ ქვეყნის საბაჟო უწყება, სადაც შედგენილ იქნა დეკლარაცია, და, საჭიროების შემთხვევაში, წარადგენს შემოწმების მოთხოვნის არსისა თუ ფორმის საფუძვლებს.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შემდგომი შემოწმების მოთხოვნის გასამყარებლად, ისინი ასევე გადააგზავნიან ნებისმიერ დოკუმენტაციასა თუ ინფორმაციას, რომელიც მოპოვებულ იქნა და ადასტურებს მიმწოდებლის დეკლარაციასა თუ მიმწოდებლის გრძლევადიან დეკლარაციაში მოცემული ინფორმაციის სისწორეს.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შემოწმება ჩატარდება იმ ქვეყნის საბაჟო უწყების მიერ, სადაც შედგენილ იქნა მიმწოდებლის დეკლარაცია ან მიმწოდებლის გრძლევადიანი დეკლარაცია. ამისათვის, მათ ექნებათ ნებისმიერი მტკიცებულების მოთხოვნის და მიმწოდებლების ანგარიშების ნებისმიერი ინსპექციის (და ყველა სხვა აუცილებელი შემოწმების) ჩატარების უფლება.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შემოწმების მომთხოვნ საბაჟო უწყებას სასწრაფოდ მიეწოდება აღნიშნული შემოწმების შედეგები. ამ შედეგებში მკაფიოდ უნდა იყოს მოცემული არის თუ არა სწორი მიმწოდებლის დეკლარაციაში ან მიმწოდებლის გრძლევადიან დეკლარაციაში მოცემული ინფორმაცია. აღნიშნულმა შედეგებმა შესაძლებელი უნდა გახადოს, განსაზღვრონ უნდა იქნეს თუ არა და რა დოზით უნდა იქნეს გათვალისწინებული ამგვარი დეკლარაცია EUR.1 გადაადგილების სერთიფიკატის გაცემისთვის ან წარმოშობის დეკლარაციის შესადგენად.</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სანქციები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 xml:space="preserve">ჯარიმები შესაძლოა დაეკისროს ნებისმიერ პირს, რომელიც ადგენს დოკუმენტს, რომელიც მოიცავს არასწორ ინფორმაციას პროდუქციის მიმართ პრეფერენციული მოპყრობის მიღების მიზნებისთვის.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მუხლი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თავისუფალი ზონები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 xml:space="preserve">1. </w:t>
      </w:r>
      <w:r>
        <w:rPr>
          <w:rFonts w:ascii="Sylfaen" w:eastAsia="Times New Roman" w:hAnsi="Sylfaen" w:cs="Sylfaen"/>
          <w:noProof/>
          <w:sz w:val="24"/>
          <w:szCs w:val="24"/>
          <w:lang w:eastAsia="x-none"/>
        </w:rPr>
        <w:t>ევროპის თავისუფალი ვაჭრობის ასოციაციის სახელმწიფოები და ტუნისი მიიღებენ ყველა აუცილებელ ზომას იმის უზრუნველსაყოფად, რომ წარმოშობის სერტიფიკატის მქონე ის სავაჭრო პროდუქცია, რომელიც ტრანსპორტირებისას გამოიყენებს მათ ტერიტორიებზე არსებულ თავისუფალ ზონებს, არ იყოს ჩანაცვლებული სხვა საქონლით და არ დაექვემდებაროს რაიმე ქმედებებს გარდა ჩვეულებრივი ოპერაციებისა, რომლებიც გამიზნულია მათი გაფუჭებისგან დასაცავად.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ამ მუხლის პირველი პუნქტის დებულებებისგან გადახვევის საფუძველზე, როდესაც ევროპის თავისუფალი ვაჭრობის ასოციაციის სახელმწიფოს და ტუნისის ტერიტორიაზე წარმოშობილი წარმოშობის სერტიფიკატის მქონე პროდუქცია იმპორტირებულია თავისუფალ ზონაში და განიცდის დამუშავება-გადამუშავებას, შესაბამისმა ხელისუფლებამ უნდა გასცეს ახალი EUR.1 გადაადგილების სერტიფიკატი ექსპორტიორის თხოვნით, თუ ზემოხსენებული დამუშავება-გადამუშავება შეესაბამება წინამდებარე კონვენციის დებულებებს.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XII</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ვაჭრობა ხმელთაშუა ზღვის არაბულ ქვეყნებს შორის თავისუფალი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ვაჭრობის შეთანხმების ფარგლებში (აგადირის შეთანხმება)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ხმელთაშუა ზღვის არაბულ ქვეყნებს შორის (აგადირის შეთანხმება) თავისუფალი ვაჭრობის შეთანხმების წევრ ქვეყნებში მიღებული პროდუქცია იმ მასალისგან, რომელიც გათვალისწინებულია ჰარმონიზებული სისტემის 1-24 თავებით, გამორიცხულია სხვა ხელშემკვრელ მხარეებთან დიაგონალური კუმულაციისგან, როდესაც ამგვარი მასალებით ვაჭრობა არ არის ლიბერალიზებული თავისუფალი ვაჭრობის შეთანხმებების ფარგლებში, რომელიც გაფორმდა საბოლოო დანიშნულების ქვეყანასა და აღნიშნული პროდუქტის საწარმოებლად გამოყენებული მასალების წარმოშობის ქვეყანას შორის.</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A</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დეკლარაცია საქონლისთვის, რომელმაც გაიარა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დამუშავება-გადამუშავების პროცესი ევროკავშირში,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ალჟირში, მაროკოში ან ტუნისში პრეფერენციული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lastRenderedPageBreak/>
        <w:t>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დეკლარაცია, რომლის ტექსტიც მოცემულია ქვემოთ, უნდა შემუშავდეს სქოლიოების შესაბამისად. თუმცა, არ არის საჭირო სქოლიოების გამეორება.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საქონლისთვის, რომელმაც გაიარა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დამუშავება-გადამუშავების პროცესი ევროკავშირში,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ალჟირში, მაროკოში ან ტუნისში პრეფერენციული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მე, ქვემორე ხელმომწერი, თანდართული დოკუმენტით გათვალისწინებული საქონლის მიმწოდებელი, ვაცხადებ, რომ:</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შემდეგი მასალები, რომელიც არ არის წარმოშობილი ევროკავშირში, ალჟირში, მაროკოსა თუ ტუნისში, გამოიყენება ევროკავშირში, ალჟირში, მაროკოსა თუ ტუნისში ამ საქონლის საწარმოებლად:</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CellMar>
          <w:left w:w="15" w:type="dxa"/>
          <w:right w:w="15" w:type="dxa"/>
        </w:tblCellMar>
        <w:tblLook w:val="0000" w:firstRow="0" w:lastRow="0" w:firstColumn="0" w:lastColumn="0" w:noHBand="0" w:noVBand="0"/>
      </w:tblPr>
      <w:tblGrid>
        <w:gridCol w:w="2314"/>
        <w:gridCol w:w="2314"/>
        <w:gridCol w:w="2314"/>
        <w:gridCol w:w="2314"/>
      </w:tblGrid>
      <w:tr w:rsidR="00D74962">
        <w:trPr>
          <w:trHeight w:val="670"/>
        </w:trPr>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მიწოდებული საქონლის აღწერა</w:t>
            </w:r>
            <w:r>
              <w:rPr>
                <w:rFonts w:ascii="Sylfaen" w:hAnsi="Sylfaen" w:cs="Sylfaen"/>
                <w:b/>
                <w:bCs/>
                <w:noProof/>
                <w:position w:val="5"/>
                <w:sz w:val="20"/>
                <w:szCs w:val="20"/>
                <w:lang w:eastAsia="x-none"/>
              </w:rPr>
              <w:t>(1)</w:t>
            </w:r>
            <w:r>
              <w:rPr>
                <w:rFonts w:ascii="Sylfaen" w:hAnsi="Sylfaen" w:cs="Sylfaen"/>
                <w:b/>
                <w:bCs/>
                <w:noProof/>
                <w:sz w:val="20"/>
                <w:szCs w:val="20"/>
                <w:lang w:eastAsia="x-none"/>
              </w:rPr>
              <w:t xml:space="preserve"> </w:t>
            </w:r>
          </w:p>
        </w:tc>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წარმოშობის არმქონე გამოყენებული მასალების აღწერა </w:t>
            </w:r>
          </w:p>
        </w:tc>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სათაური </w:t>
            </w:r>
            <w:r>
              <w:rPr>
                <w:rFonts w:ascii="Sylfaen" w:hAnsi="Sylfaen" w:cs="Sylfaen"/>
                <w:b/>
                <w:bCs/>
                <w:noProof/>
                <w:position w:val="5"/>
                <w:sz w:val="20"/>
                <w:szCs w:val="20"/>
                <w:lang w:eastAsia="x-none"/>
              </w:rPr>
              <w:t>(2)</w:t>
            </w:r>
            <w:r>
              <w:rPr>
                <w:rFonts w:ascii="Sylfaen" w:hAnsi="Sylfaen" w:cs="Sylfaen"/>
                <w:b/>
                <w:bCs/>
                <w:noProof/>
                <w:sz w:val="20"/>
                <w:szCs w:val="20"/>
                <w:lang w:eastAsia="x-none"/>
              </w:rPr>
              <w:t xml:space="preserve"> </w:t>
            </w:r>
          </w:p>
        </w:tc>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ღირებულება </w:t>
            </w:r>
            <w:r>
              <w:rPr>
                <w:rFonts w:ascii="Sylfaen" w:hAnsi="Sylfaen" w:cs="Sylfaen"/>
                <w:b/>
                <w:bCs/>
                <w:noProof/>
                <w:position w:val="5"/>
                <w:sz w:val="20"/>
                <w:szCs w:val="20"/>
                <w:lang w:eastAsia="x-none"/>
              </w:rPr>
              <w:t>(2)(3)</w:t>
            </w:r>
            <w:r>
              <w:rPr>
                <w:rFonts w:ascii="Sylfaen" w:hAnsi="Sylfaen" w:cs="Sylfaen"/>
                <w:b/>
                <w:bCs/>
                <w:noProof/>
                <w:sz w:val="20"/>
                <w:szCs w:val="20"/>
                <w:lang w:eastAsia="x-none"/>
              </w:rPr>
              <w:t xml:space="preserve"> </w:t>
            </w:r>
          </w:p>
        </w:tc>
      </w:tr>
      <w:tr w:rsidR="00D74962">
        <w:trPr>
          <w:trHeight w:val="232"/>
        </w:trPr>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219"/>
        </w:trPr>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232"/>
        </w:trPr>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1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ჯამი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ყველა სხვა მასალა, რომელიც გამოიყენება ევროკავშირში, ალჟირში, მაროკოსა თუ ტუნისში აღნიშნული საქონელის საწარმოებლად, წარმოიშობა ევროკავშირში, ალჟირში, მაროკოსა თუ ტუნისში.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ქვემოთ მოცემულმა ტვირთმა გაიარა დამუშავება-გადამუშავება ევროკავშირის, ალჟირის, მაროკოსა თუ ტუნისის ფარგლებს გარეთ პან-ევრო-ხმელთაშუა ზღვის პრეფერენციული წარმოშობის წესების I დანართის მე-11 მუხლის შესაბამისად და მიიღო სრული დამატებითი ღირებულება: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მიწოდებული საქონლის აღწერა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r>
        <w:rPr>
          <w:rFonts w:ascii="Sylfaen" w:eastAsia="Times New Roman" w:hAnsi="Sylfaen" w:cs="Sylfaen"/>
          <w:noProof/>
          <w:sz w:val="24"/>
          <w:szCs w:val="24"/>
          <w:lang w:eastAsia="x-none"/>
        </w:rPr>
        <w:t>სრული დამატებითი ღირებულება, რომელიც მოპოვებულია ევროკავშირის, ალჟირის, მაროკოსა თუ ტუნისის ფარგლებს გარეთ (</w:t>
      </w:r>
      <w:r>
        <w:rPr>
          <w:rFonts w:ascii="Sylfaen" w:hAnsi="Sylfaen" w:cs="Sylfaen"/>
          <w:noProof/>
          <w:position w:val="6"/>
          <w:sz w:val="24"/>
          <w:szCs w:val="24"/>
          <w:lang w:eastAsia="x-none"/>
        </w:rPr>
        <w:t>4</w:t>
      </w:r>
      <w:r>
        <w:rPr>
          <w:rFonts w:ascii="Sylfaen" w:hAnsi="Sylfaen" w:cs="Sylfae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lastRenderedPageBreak/>
        <w:t>(</w:t>
      </w:r>
      <w:r>
        <w:rPr>
          <w:rFonts w:ascii="Sylfaen" w:eastAsia="Times New Roman" w:hAnsi="Sylfaen" w:cs="Sylfaen"/>
          <w:noProof/>
          <w:sz w:val="24"/>
          <w:szCs w:val="24"/>
          <w:lang w:eastAsia="x-none"/>
        </w:rPr>
        <w:t>ადგილი და თარიღი)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მისამართი და ხელმოწერა; ამას გარდა, ნათლად უნდა მიეთითოს დეკლარაციის ხელმომწერი პირის სახელი)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როდესაც ანგარიშფაქტურა, მიწოდების შესახებ შეტყობინება ან სხვა კომერციული დოკუმენტაცია, რომელსაც ერთვის დეკლარაცია, უკავშირდება სხვადასხვა ტიპის საქონელს, ან საქონელს, რომელიც არ მოიცავს წარმოშობის არმქონე მასალებს იმავე დოზით, მიმწოდებელმა უნდა უზრუნველყოს მათი დიფერენცირება. მაგალითად: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დოკუმენტი უკავშირდება 8510 სექციის ქვეშ მოქცეულ ელექტრონული მანქანის სხვადასხვა მოდელებს, რომელიც გამოყენებულ უნდა იქნეს სარეცხი მანქანების წარმოებისას 8450 სექციის ქვეშ. წარმოშობის არმქონე მასალების ხასიათი და ღირებულება, რომლებიც გამოიყენება ამგვარი მანქანების საწარმოებლად განსხვავდება მოდელების მიხედვით. შესაბამისად, მოდელები უნდა იქნეს დიფერენცირებული პირველ სვეტში და ინდიკაციები უნდა მიეთითოს მეორე სვეტში. ეს ორი ერთმანეთისგან განსხვავებით უნდა გაიწეროს, რათა სარეცხი მანქანების მწარმოებელს მიეცეს საშუალება, სწორი შეფასება მისცეს მისი პროდუქციის წარმოშობის სტატუსს, იმის გათვალისწინებით, თუ რომელი მოდელის ელექტრონულ მანქანას იყენებს იგი.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აღნიშნულ სვეტებში მოთხოვნილი ინდიკაციები მიეთითება აუცილებლობის შემთხვევაში.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მაგალითად: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ex 62-ე თავის წესი ტანსაცმლის შესახებ ამბობს, რომ შესაძლოა გამოყენებულ იქნეს წარმოშობის არმქონე ნართი. თუ ამგვარი ტანსაცმლის მწარმოებელი ალჟირში იყენებს ნაჭერს, რომელიც იმპორტირებულია ევროკავშირიდან, რომელის მიღებულ იქნა იქ წარმოშობის არმქონე ნართის მოქსოვის შედეგად, ევროკავშირის მიმწოდებლის მხრიდან საკმარისია, რომ მან თავის დეკლარაციაში აღწეროს წარმოშობის არმქონე მასალა, რომელიც გამოიყენება, როგორც ნართი და არ მიუთითოს ამგვარი ნართის დასათაურება და ღირებულება.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რკინის მწარმოებელი 7217 სექციის ქვეშ, რომელიც მას აწარმოებს წარმოშობის არმქონე რკინის ნაჭრებისგან, მეორე სვეტში მიუთითებს "რკინის ნაჭრები". როდესაც ეს მავთული გამოიყენება მანქანის პროდუქციისას, რომლისთვისაც წესი მოიცავს შეზღუდვას ყველა წარმოების არმქონე მასალისთვის, რომელიც გამოიყენება გარკვეული პროცენტულობის ღირებულებით, მესამე სვეტში მიეთითება წარმოშობის არმქონე ნაჭრების ღირებულება.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"მასალების ღირებულება" ნიშნავს საბაჟო ღირებულებას იმ წარმოშობის არმქონე მასალების იმპორტირებისას, რომელიც გამოიყენება, ან, თუ იგი არ არის ცნობილი და ვერ განისაზვრება, პირველი განსაზღვრადი ფასი, რომელიც გადაიხდება მასალებში ევროპკავშირში, ალჟირში, მაროკოსა თუ ტუნისში. თითოეული გამოყენებული </w:t>
      </w:r>
      <w:r>
        <w:rPr>
          <w:rFonts w:ascii="Sylfaen" w:eastAsia="Times New Roman" w:hAnsi="Sylfaen" w:cs="Sylfaen"/>
          <w:noProof/>
          <w:sz w:val="24"/>
          <w:szCs w:val="24"/>
          <w:lang w:eastAsia="x-none"/>
        </w:rPr>
        <w:lastRenderedPageBreak/>
        <w:t>წარმოშობის არმქონე მასალის ზუსტი ღირებულება გამოითვლება საქონლის ერთ ერთეულზე, რომელიც გაწერილია პირველ სვეტში.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"მთლიანი დამატებითი ღირებულება" ნიშნავს ევროკავშირის, ალჟირის, მაროკოსა თუ ტუნისის ფარგლებს გარეთ აკუმულირებულ ხარჯებს, რაც მოიცავს მათზე დამატებული ყველა მასალის ღირებულებას. ზუსტი მთლიანი დამატებითი ღირებულება, რომელიც მიღებულია ევროკავშირის, ალჟირის, მაროკოსა თუ ტუნისის ფარგლებს გარეთ გამოითვლება საქონლის ერთ ერთეულზე, რომელიც გაწერილია პირველ სვეტში.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დანართი B</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გრძელვადიანი დეკლარაცია საქონლისთვის, რომელმაც გაიარა დამუშავება-გადამუშავების პროცესი ევროკავშირში, ალჟირში, მაროკოში ან ტუნისში პრეფერენციული 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გრძელვადიანი დეკლარაცია, რომლის ტექსტიც მოცემულია ქვემოთ, უნდა შემუშავდეს სქოლიოების შესაბამისად. თუმცა, არ არის საჭირო სქოლიოების გამეორება.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გრძელვადიანი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საქონლისთვის, რომელმაც გაიარა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დამუშავება-გადამუშავების პროცესი ევროკავშირში,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ალჟირში, მაროკოში ან ტუნისში პრეფერენციული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მე, ქვემორე ხელმომწერი, თანდართული დოკუმენტით გათვალისწინებული საქონლის მიმწოდებელი, რომელიც რეგულარულად მიეწოდება ..........................(</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ვაცხადებ, რომ:</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შემდეგი მასალები, რომელიც არ არის წარმოშობილი ევროკავშირში, ალჟირში, მაროკოსა თუ ტუნისში, გამოიყენება ევროკავშირში, ალჟირში, მაროკოსა თუ ტუნისში ამ საქონლის საწარმოებლად:</w:t>
      </w:r>
    </w:p>
    <w:tbl>
      <w:tblPr>
        <w:tblW w:w="0" w:type="auto"/>
        <w:tblInd w:w="-8" w:type="dxa"/>
        <w:tblLayout w:type="fixed"/>
        <w:tblCellMar>
          <w:left w:w="15" w:type="dxa"/>
          <w:right w:w="15" w:type="dxa"/>
        </w:tblCellMar>
        <w:tblLook w:val="0000" w:firstRow="0" w:lastRow="0" w:firstColumn="0" w:lastColumn="0" w:noHBand="0" w:noVBand="0"/>
      </w:tblPr>
      <w:tblGrid>
        <w:gridCol w:w="2336"/>
        <w:gridCol w:w="2336"/>
        <w:gridCol w:w="2336"/>
        <w:gridCol w:w="2336"/>
      </w:tblGrid>
      <w:tr w:rsidR="00D74962">
        <w:trPr>
          <w:trHeight w:val="760"/>
        </w:trPr>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მიწოდებული საქონლის აღწერა</w:t>
            </w:r>
            <w:r>
              <w:rPr>
                <w:rFonts w:ascii="Sylfaen" w:hAnsi="Sylfaen" w:cs="Sylfaen"/>
                <w:b/>
                <w:bCs/>
                <w:noProof/>
                <w:position w:val="5"/>
                <w:sz w:val="20"/>
                <w:szCs w:val="20"/>
                <w:lang w:eastAsia="x-none"/>
              </w:rPr>
              <w:t>(2)</w:t>
            </w:r>
            <w:r>
              <w:rPr>
                <w:rFonts w:ascii="Sylfaen" w:hAnsi="Sylfaen" w:cs="Sylfaen"/>
                <w:b/>
                <w:bCs/>
                <w:noProof/>
                <w:sz w:val="20"/>
                <w:szCs w:val="20"/>
                <w:lang w:eastAsia="x-none"/>
              </w:rPr>
              <w:t xml:space="preserve"> </w:t>
            </w:r>
          </w:p>
        </w:tc>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წარმოშობის არმქონე გამოყენებული მასალების აღწერა </w:t>
            </w:r>
          </w:p>
        </w:tc>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სათაური </w:t>
            </w:r>
            <w:r>
              <w:rPr>
                <w:rFonts w:ascii="Sylfaen" w:hAnsi="Sylfaen" w:cs="Sylfaen"/>
                <w:b/>
                <w:bCs/>
                <w:noProof/>
                <w:position w:val="5"/>
                <w:sz w:val="20"/>
                <w:szCs w:val="20"/>
                <w:lang w:eastAsia="x-none"/>
              </w:rPr>
              <w:t>(3)</w:t>
            </w:r>
            <w:r>
              <w:rPr>
                <w:rFonts w:ascii="Sylfaen" w:hAnsi="Sylfaen" w:cs="Sylfaen"/>
                <w:b/>
                <w:bCs/>
                <w:noProof/>
                <w:sz w:val="20"/>
                <w:szCs w:val="20"/>
                <w:lang w:eastAsia="x-none"/>
              </w:rPr>
              <w:t xml:space="preserve"> </w:t>
            </w:r>
          </w:p>
        </w:tc>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ღირებულება </w:t>
            </w:r>
            <w:r>
              <w:rPr>
                <w:rFonts w:ascii="Sylfaen" w:hAnsi="Sylfaen" w:cs="Sylfaen"/>
                <w:b/>
                <w:bCs/>
                <w:noProof/>
                <w:position w:val="5"/>
                <w:sz w:val="20"/>
                <w:szCs w:val="20"/>
                <w:lang w:eastAsia="x-none"/>
              </w:rPr>
              <w:t>(3)(4)</w:t>
            </w:r>
            <w:r>
              <w:rPr>
                <w:rFonts w:ascii="Sylfaen" w:hAnsi="Sylfaen" w:cs="Sylfaen"/>
                <w:b/>
                <w:bCs/>
                <w:noProof/>
                <w:sz w:val="20"/>
                <w:szCs w:val="20"/>
                <w:lang w:eastAsia="x-none"/>
              </w:rPr>
              <w:t xml:space="preserve"> </w:t>
            </w:r>
          </w:p>
        </w:tc>
      </w:tr>
      <w:tr w:rsidR="00D74962">
        <w:trPr>
          <w:trHeight w:val="243"/>
        </w:trPr>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258"/>
        </w:trPr>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243"/>
        </w:trPr>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ჯამი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2. ყველა სხვა მასალა, რომელიც გამოიყენება ევროკავშირში, ალჟირში, მაროკოსა თუ ტუნისში აღნიშნული საქონელის საწარმოებლად, წარმოიშობა ევროკავშირში, ალჟირში, მაროკოსა თუ ტუნისში.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ქვემოთ მოცემულმა ტვირთმა გაიარა დამუშავება-გადამუშავება ევროკავშირის, ალჟირის, მაროკოსა თუ ტუნისის ფარგლებს გარეთ პან-ევრო-ხმელთაშუა ზღვის პრეფერენციული წარმოშობის წესების I დანართის მე-11 მუხლის შესაბამისად და მიიღო სრული დამატებითი ღირებულება: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CellMar>
          <w:left w:w="15" w:type="dxa"/>
          <w:right w:w="15" w:type="dxa"/>
        </w:tblCellMar>
        <w:tblLook w:val="0000" w:firstRow="0" w:lastRow="0" w:firstColumn="0" w:lastColumn="0" w:noHBand="0" w:noVBand="0"/>
      </w:tblPr>
      <w:tblGrid>
        <w:gridCol w:w="4582"/>
        <w:gridCol w:w="4598"/>
      </w:tblGrid>
      <w:tr w:rsidR="00D74962">
        <w:trPr>
          <w:trHeight w:val="520"/>
        </w:trPr>
        <w:tc>
          <w:tcPr>
            <w:tcW w:w="458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მიწოდებული საქონლის აღწერა </w:t>
            </w:r>
          </w:p>
        </w:tc>
        <w:tc>
          <w:tcPr>
            <w:tcW w:w="4598"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სრული დამატებითი ღირებულება, რომელიც მოპოვებულია ევროკავშირის, ალჟირის, მაროკოსა თუ ტუნისის ფარგლებს გარეთ </w:t>
            </w:r>
            <w:r>
              <w:rPr>
                <w:rFonts w:ascii="Sylfaen" w:hAnsi="Sylfaen" w:cs="Sylfaen"/>
                <w:b/>
                <w:bCs/>
                <w:noProof/>
                <w:position w:val="5"/>
                <w:sz w:val="20"/>
                <w:szCs w:val="20"/>
                <w:lang w:eastAsia="x-none"/>
              </w:rPr>
              <w:t>(5)</w:t>
            </w:r>
            <w:r>
              <w:rPr>
                <w:rFonts w:ascii="Sylfaen" w:hAnsi="Sylfaen" w:cs="Sylfaen"/>
                <w:b/>
                <w:bCs/>
                <w:noProof/>
                <w:sz w:val="20"/>
                <w:szCs w:val="20"/>
                <w:lang w:eastAsia="x-none"/>
              </w:rPr>
              <w:t xml:space="preserve"> </w:t>
            </w:r>
          </w:p>
        </w:tc>
      </w:tr>
      <w:tr w:rsidR="00D74962">
        <w:trPr>
          <w:trHeight w:val="180"/>
        </w:trPr>
        <w:tc>
          <w:tcPr>
            <w:tcW w:w="458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4598"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170"/>
        </w:trPr>
        <w:tc>
          <w:tcPr>
            <w:tcW w:w="458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4598"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180"/>
        </w:trPr>
        <w:tc>
          <w:tcPr>
            <w:tcW w:w="458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4598"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წინამდებარე დეკლარაცია მოქმედებს აღნიშნული საქონლის ყველა შემდგომ პარტიასთან მიმართებით, რომელიც მოდის .......................................................-დან ...........................................-ში(6)</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მე ვიღებ ვალდებულებას, რომ დაუყოვნებლივ შევატყობინებ ..........................................................................(</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თუ შეწყდება აღნიშნული დეკლარაციის მოქმედება.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(ადგილი და თარიღი)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მისამართი და ხელმოწერა;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ამას გარდა, ნათლად უნდა მიეთითოს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დეკლარაციის ხელმომწერი პირის სახელი)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მომხმარებლის სახელი და მისამართი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როდესაც ანგარიშფაქტურა, მიწოდების შესახებ შეტყობინება ან სხვა კომერციული დოკუმენტაცია, რომელსაც ერთვის დეკლარაცია, უკავშირდება სხვადასხვა ტიპის საქონელს, ან საქონელს, რომელიც არ მოიცავს წარმოშობის არმქონე მასალებს იმავე დოზით, მიმწოდებელმა უნდა უზრუნველყოს მათი დიფერენცირება. მაგალითად: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დოკუმენტი უკავშირდება 8510 სექციის ქვეშ მოქცეულ ელექტრონული მანქანის სხვადასხვა მოდელებს, რომელიც გამოყენებულ უნდა იქნეს სარეცხი მანქანების წარმოებისას 8450 სექციის ქვეშ. წარმოშობის არმქონე მასალების ხასიათი და ღირებულება, რომლებიც გამოიყენება ამგვარი მანქანების საწარმოებლად განსხვავდება მოდელების მიხედვით. შესაბამისად, მოდელები უნდა იქნეს </w:t>
      </w:r>
      <w:r>
        <w:rPr>
          <w:rFonts w:ascii="Sylfaen" w:eastAsia="Times New Roman" w:hAnsi="Sylfaen" w:cs="Sylfaen"/>
          <w:noProof/>
          <w:sz w:val="24"/>
          <w:szCs w:val="24"/>
          <w:lang w:eastAsia="x-none"/>
        </w:rPr>
        <w:lastRenderedPageBreak/>
        <w:t>დიფერენცირებული პირველ სვეტში და ინდიკაციები უნდა მიეთითოს მეორე სვეტში. ეს ორი ერთმანეთისგან განსხვავებით უნდა გაიწეროს, რათა სარეცხი მანქანების მწარმოებელს მიეცეს საშუალება, სწორი შეფასება მისცეს მისი პროდუქციის წარმოშობის სტატუსს, იმის გათვალისწინებით, თუ რომელი მოდელის ელექტრონულ მანქანას იყენებს იგი.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აღნიშნულ სვეტებში მოთხოვნილი ინდიკაციები მიეთითება აუცილებლობის შემთხვევაში.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მაგალითად: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ex 62-ე თავის წესი ტანსაცმლის შესახებ ამბობს, რომ შესაძლოა გამოყენებულ იქნეს წარმოშობის არმქონე ნართი. თუ ამგვარი ტანსაცმლის მწარმოებელი ალჟირში იყენებს ნაჭერს, რომელიც იმპორტირებულია ევროკავშირიდან, რომელის მიღებულ იქნა იქ წარმოშობის არმქონე ნართის მოქსოვის შედეგად, ევროკავშირის მიმწოდებლის მხრიდან საკმარისია, რომ მან თავის დეკლარაციაში აღწეროს წარმოშობის არმქონე მასალა, რომელიც გამოიყენება, როგორც ნართი და არ მიუთითოს ამგვარი ნართის დასათაურება და ღირებულება.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რკინის მწარმოებელი 7217 სექციის ქვეშ, რომელიც მას აწარმოებს წარმოშობის არმქონე რკინის ნაჭრებისგან, მეორე სვეტში მიუთითებს "რკინის ნაჭრები". როდესაც ეს მავთული გამოიყენება მანქანის პროდუქციისას, რომლისთვისაც წესი მოიცავს შეზღუდვას ყველა წარმოების არმქონე მასალისთვის, რომელიც გამოიყენება გარკვეული პროცენტულობის ღირებულებით, მესამე სვეტში მიეთითება წარმოშობის არმქონე ნაჭრების ღირებულება.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"მასალების ღირებულება" ნიშნავს საბაჟო ღირებულებას იმ წარმოშობის არმქონე მასალების იმპორტირებისას, რომელიც გამოიყენება, ან, თუ იგი არ არის ცნობილი და ვერ განისაზვრება, პირველი განსაზღვრადი ფასი, რომელიც გადაიხდება მასალებში ევროკავშირში, ალჟირში, მაროკოსა თუ ტუნისში. თითოეული გამოყენებული წარმოშობის არმქონე მასალის ზუსტი ღირებულება გამოითვლება საქონლის ერთ ერთეულზე, რომელიც გაწერილია პირველ სვეტში.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"მთლიანი დამატებითი ღირებულება" ნიშნავს ევროკავშირის, ალჟირის, მაროკოსა თუ ტუნისის ფარგლებს გარეთ აკუმულირებულ ხარჯებს, რაც მოიცავს მათზე დამატებული ყველა მასალის ღირებულებას. ზუსტი მთლიანი დამატებითი ღირებულება, რომელიც მიღებულია ევროკავშირის, ალჟირის, მაროკოსა თუ ტუნისის ფარგლებს გარეთ გამოითვლება საქონლის ერთ ერთეულზე, რომელიც გაწერილია პირველ სვეტში.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ჩასვით თარიღები. მიმწოდებლის გრძელვადიანი დეკლარაციის მოქმედების პერიოდი ჩვეულებრივ არ სცდება 12 თვეს და ექვემდებარება იმ ქვეყნის საბაჟო უწყების მიერ გაწერილ პირობებს, სადაც შემუშავდა მიმწოდებლის გრძელვადიანი დეკლარაცია.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დანართი C</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დეკლარაცია საქონლისთვის, რომელმაც გაიარა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დამუშავება-გადამუშავების პროცესი თურქეთში,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ალჟირში, მაროკოში ან ტუნისში პრეფერენციული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დეკლარაცია, რომლის ტექსტიც მოცემულია ქვემოთ, უნდა შემუშავდეს სქოლიოების შესაბამისად. თუმცა, არ არის საჭირო სქოლიოების გამეორება.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საქონლისთვის, რომელმაც გაიარა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დამუშავება-გადამუშავების პროცესი თურქეთში,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ალჟირში, მაროკოში ან ტუნისში პრეფერენციული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მე, ქვემორე ხელმომწერი, თანდართული დოკუმენტით გათვალისწინებული საქონლის მიმწოდებელი, ვაცხადებ, რომ:</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შემდეგი მასალები, რომელიც არ არის წარმოშობილი თურქეთში, ალჟირში, მაროკოსა თუ ტუნისში, გამოიყენება თურქეთში, ალჟირში, მაროკოსა თუ ტუნისში ამ საქონლის საწარმოებლად:</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CellMar>
          <w:left w:w="15" w:type="dxa"/>
          <w:right w:w="15" w:type="dxa"/>
        </w:tblCellMar>
        <w:tblLook w:val="0000" w:firstRow="0" w:lastRow="0" w:firstColumn="0" w:lastColumn="0" w:noHBand="0" w:noVBand="0"/>
      </w:tblPr>
      <w:tblGrid>
        <w:gridCol w:w="2332"/>
        <w:gridCol w:w="2332"/>
        <w:gridCol w:w="2332"/>
        <w:gridCol w:w="2332"/>
      </w:tblGrid>
      <w:tr w:rsidR="00D74962">
        <w:trPr>
          <w:trHeight w:val="1047"/>
        </w:trPr>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მიწოდებული საქონლის აღწერა</w:t>
            </w:r>
            <w:r>
              <w:rPr>
                <w:rFonts w:ascii="Sylfaen" w:hAnsi="Sylfaen" w:cs="Sylfaen"/>
                <w:b/>
                <w:bCs/>
                <w:noProof/>
                <w:position w:val="5"/>
                <w:sz w:val="20"/>
                <w:szCs w:val="20"/>
                <w:lang w:eastAsia="x-none"/>
              </w:rPr>
              <w:t>(1)</w:t>
            </w:r>
          </w:p>
        </w:tc>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აღწერა</w:t>
            </w:r>
          </w:p>
        </w:tc>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სათაური </w:t>
            </w:r>
            <w:r>
              <w:rPr>
                <w:rFonts w:ascii="Sylfaen" w:hAnsi="Sylfaen" w:cs="Sylfaen"/>
                <w:b/>
                <w:bCs/>
                <w:noProof/>
                <w:position w:val="5"/>
                <w:sz w:val="20"/>
                <w:szCs w:val="20"/>
                <w:lang w:eastAsia="x-none"/>
              </w:rPr>
              <w:t>(2)</w:t>
            </w:r>
          </w:p>
        </w:tc>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ღირებულება </w:t>
            </w:r>
            <w:r>
              <w:rPr>
                <w:rFonts w:ascii="Sylfaen" w:hAnsi="Sylfaen" w:cs="Sylfaen"/>
                <w:b/>
                <w:bCs/>
                <w:noProof/>
                <w:position w:val="5"/>
                <w:sz w:val="20"/>
                <w:szCs w:val="20"/>
                <w:lang w:eastAsia="x-none"/>
              </w:rPr>
              <w:t>(2)(3)</w:t>
            </w:r>
          </w:p>
        </w:tc>
      </w:tr>
      <w:tr w:rsidR="00D74962">
        <w:trPr>
          <w:trHeight w:val="258"/>
        </w:trPr>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258"/>
        </w:trPr>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258"/>
        </w:trPr>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3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ჯამი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ყველა სხვა მასალა, რომელიც გამოიყენება თურქეთში, ალჟირში, მაროკოსა თუ ტუნისში აღნიშნული საქონელის საწარმოებლად, წარმოიშობა თურქეთში, ალჟირში, მაროკოსა თუ ტუნისში.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3. ქვემოთ მოცემულმა ტვირთმა გაიარა დამუშავება-გადამუშავება თურქეთის, ალჟირის, მაროკოსა თუ ტუნისის ფარგლებს გარეთ პან-ევრო-ხმელთაშუა ზღვის </w:t>
      </w:r>
      <w:r>
        <w:rPr>
          <w:rFonts w:ascii="Sylfaen" w:eastAsia="Times New Roman" w:hAnsi="Sylfaen" w:cs="Sylfaen"/>
          <w:noProof/>
          <w:sz w:val="24"/>
          <w:szCs w:val="24"/>
          <w:lang w:eastAsia="x-none"/>
        </w:rPr>
        <w:lastRenderedPageBreak/>
        <w:t>პრეფერენციული წარმოშობის წესების I დანართის მე-11 მუხლის შესაბამისად და მიიღო სრული დამატებითი ღირებულება: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მიწოდებული საქონლის აღწერა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r>
        <w:rPr>
          <w:rFonts w:ascii="Sylfaen" w:eastAsia="Times New Roman" w:hAnsi="Sylfaen" w:cs="Sylfaen"/>
          <w:noProof/>
          <w:sz w:val="24"/>
          <w:szCs w:val="24"/>
          <w:lang w:eastAsia="x-none"/>
        </w:rPr>
        <w:t>სრული დამატებითი ღირებულება, რომელიც მოპოვებულია თურქეთის, ალჟირის, მაროკოსა თუ ტუნისის ფარგლებს გარეთ (</w:t>
      </w:r>
      <w:r>
        <w:rPr>
          <w:rFonts w:ascii="Sylfaen" w:hAnsi="Sylfaen" w:cs="Sylfaen"/>
          <w:noProof/>
          <w:position w:val="6"/>
          <w:sz w:val="24"/>
          <w:szCs w:val="24"/>
          <w:lang w:eastAsia="x-none"/>
        </w:rPr>
        <w:t>4</w:t>
      </w:r>
      <w:r>
        <w:rPr>
          <w:rFonts w:ascii="Sylfaen" w:hAnsi="Sylfaen" w:cs="Sylfaen"/>
          <w:noProof/>
          <w:sz w:val="24"/>
          <w:szCs w:val="24"/>
          <w:lang w:eastAsia="x-none"/>
        </w:rPr>
        <w:t>)</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w:t>
      </w:r>
      <w:r>
        <w:rPr>
          <w:rFonts w:ascii="Sylfaen" w:eastAsia="Times New Roman" w:hAnsi="Sylfaen" w:cs="Sylfaen"/>
          <w:noProof/>
          <w:sz w:val="24"/>
          <w:szCs w:val="24"/>
          <w:lang w:eastAsia="x-none"/>
        </w:rPr>
        <w:t>ადგილი და თარიღი)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მისამართი და ხელმოწერა; ამას გარდა, ნათლად უნდა მიეთითოს დეკლარაციის ხელმომწერი პირის სახელი)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როდესაც ანგარიშფაქტურა, მიწოდების შესახებ შეტყობინება ან სხვა კომერციული დოკუმენტაცია, რომელსაც ერთვის დეკლარაცია, უკავშირდება სხვადასხვა ტიპის საქონელს, ან საქონელს, რომელიც არ მოიცავს წარმოშობის არმქონე მასალებს იმავე დოზით, მიმწოდებელმა უნდა უზრუნველყოს მათი დიფერენცირება. მაგალითად: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დოკუმენტი უკავშირდება 8510 სექციის ქვეშ მოქცეულ ელექტრონული მანქანის სხვადასხვა მოდელებს, რომელიც გამოყენებულ უნდა იქნეს სარეცხი მანქანების წარმოებისას 8450 სექციის ქვეშ. წარმოშობის არმქონე მასალების ხასიათი და ღირებულება, რომლებიც გამოიყენება ამგვარი მანქანების საწარმოებლად განსხვავდება მოდელების მიხედვით. შესაბამისად, მოდელები უნდა იქნეს დიფერენცირებული პირველ სვეტში და ინდიკაციები უნდა მიეთითოს მეორე სვეტში. ეს ორი ერთმანეთისგან განსხვავებით უნდა გაიწეროს, რათა სარეცხი მანქანების მწარმოებელს მიეცეს საშუალება, სწორი შეფასება მისცეს მისი პროდუქციის წარმოშობის სტატუსს, იმის გათვალისწინებით, თუ რომელი მოდელის ელექტრონულ მანქანას იყენებს იგი.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აღნიშნულ სვეტებში მოთხოვნილი ინდიკაციები მიეთითება აუცილებლობის შემთხვევაში.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მაგალითად: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ex 62-ე თავის წესი ტანსაცმლის შესახებ ამბობს, რომ შესაძლოა გამოყენებულ იქნეს წარმოშობის არმქონე ნართი. თუ ამგვარი ტანსაცმლის მწარმოებელი ტუნისში იყენებს ნაჭერს, რომელიც იმპორტირებულია თურქეთიდან, რომელის მიღებულ იქნა იქ წარმოშობის არმქონე ნართის მოქსოვის შედეგად, თურქეთის მიმწოდებლის მხრიდან საკმარისია, რომ მან თავის დეკლარაციაში აღწეროს წარმოშობის არმქონე მასალა, რომელიც გამოიყენება, როგორც ნართი და არ მიუთითოს ამგვარი ნართის დასათაურება და ღირებულება.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რკინის მწარმოებელი 7217 სექციის ქვეშ, რომელიც მას აწარმოებს წარმოშობის არმქონე რკინის ნაჭრებისგან, მეორე სვეტში მიუთითებს "რკინის ნაჭრები". როდესაც ეს მავთული გამოიყენება მანქანის პროდუქციისას, რომლისთვისაც წესი მოიცავს შეზღუდვას ყველა წარმოების არმქონე მასალისთვის, რომელიც გამოიყენება </w:t>
      </w:r>
      <w:r>
        <w:rPr>
          <w:rFonts w:ascii="Sylfaen" w:eastAsia="Times New Roman" w:hAnsi="Sylfaen" w:cs="Sylfaen"/>
          <w:noProof/>
          <w:sz w:val="24"/>
          <w:szCs w:val="24"/>
          <w:lang w:eastAsia="x-none"/>
        </w:rPr>
        <w:lastRenderedPageBreak/>
        <w:t>გარკვეული პროცენტულობის ღირებულებით, მესამე სვეტში მიეთითება წარმოშობის არმქონე ნაჭრების ღირებულება.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"მასალების ღირებულება" ნიშნავს საბაჟო ღირებულებას იმ წარმოშობის არმქონე მასალების იმპორტირებისას, რომელიც გამოიყენება, ან, თუ იგი არ არის ცნობილი და ვერ განისაზვრება, პირველი განსაზღვრადი ფასი, რომელიც გადაიხდება მასალებში თურქეთში, ალჟირში, მაროკოსა თუ ტუნისში. თითოეული გამოყენებული წარმოშობის არმქონე მასალის ზუსტი ღირებულება გამოითვლება საქონლის ერთ ერთეულზე, რომელიც გაწერილია პირველ სვეტში.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"მთლიანი დამატებითი ღირებულება" ნიშნავს თურქეთის, ალჟირის, მაროკოსა თუ ტუნისის ფარგლებს გარეთ აკუმულირებულ ხარჯებს, რაც მოიცავს მათზე დამატებული ყველა მასალის ღირებულებას. ზუსტი მთლიანი დამატებითი ღირებულება, რომელიც მიღებულია თურქეთის, ალჟირის, მაროკოსა თუ ტუნისის ფარგლებს გარეთ გამოითვლება საქონლის ერთ ერთეულზე, რომელიც გაწერილია პირველ სვეტში.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D</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გრძელვადიანი დეკლარაცია საქონლისთვის, რომელმაც გაიარა დამუშავება-გადამუშავების პროცესი თურქეთში, ალჟირში, მაროკოში ან ტუნისში პრეფერენციული 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გრძელვადიანი დეკლარაცია, რომლის ტექსტიც მოცემულია ქვემოთ, უნდა შემუშავდეს სქოლიოების შესაბამისად. თუმცა, არ არის საჭირო სქოლიოების გამეორება.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გრძელვადიანი დეკლარაცია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საქონლისთვის, რომელმაც გაიარა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დამუშავება-გადამუშავების პროცესი თურქეთში,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ალჟირში, მაროკოში ან ტუნისში პრეფერენციული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მე, ქვემორე ხელმომწერი, თანდართული დოკუმენტით გათვალისწინებული საქონლის მიმწოდებელი, რომელიც რეგულარულად მიეწოდება ..........................(</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ვაცხადებ, რომ:</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1. შემდეგი მასალები, რომელიც არ არის წარმოშობილი თურქეთში, ალჟირში, მაროკოსა თუ ტუნისში, გამოიყენება თურქეთში, ალჟირში, მაროკოსა თუ ტუნისში ამ საქონლის საწარმოებლად:</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CellMar>
          <w:left w:w="15" w:type="dxa"/>
          <w:right w:w="15" w:type="dxa"/>
        </w:tblCellMar>
        <w:tblLook w:val="0000" w:firstRow="0" w:lastRow="0" w:firstColumn="0" w:lastColumn="0" w:noHBand="0" w:noVBand="0"/>
      </w:tblPr>
      <w:tblGrid>
        <w:gridCol w:w="2347"/>
        <w:gridCol w:w="2347"/>
        <w:gridCol w:w="2347"/>
        <w:gridCol w:w="2347"/>
      </w:tblGrid>
      <w:tr w:rsidR="00D74962">
        <w:trPr>
          <w:trHeight w:val="442"/>
        </w:trPr>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მიწოდებული საქონლის აღწერა</w:t>
            </w:r>
            <w:r>
              <w:rPr>
                <w:rFonts w:ascii="Sylfaen" w:hAnsi="Sylfaen" w:cs="Sylfaen"/>
                <w:b/>
                <w:bCs/>
                <w:noProof/>
                <w:position w:val="5"/>
                <w:sz w:val="20"/>
                <w:szCs w:val="20"/>
                <w:lang w:eastAsia="x-none"/>
              </w:rPr>
              <w:t>(2)</w:t>
            </w:r>
          </w:p>
        </w:tc>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აღწერა</w:t>
            </w:r>
          </w:p>
        </w:tc>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სათაური </w:t>
            </w:r>
            <w:r>
              <w:rPr>
                <w:rFonts w:ascii="Sylfaen" w:hAnsi="Sylfaen" w:cs="Sylfaen"/>
                <w:b/>
                <w:bCs/>
                <w:noProof/>
                <w:position w:val="5"/>
                <w:sz w:val="20"/>
                <w:szCs w:val="20"/>
                <w:lang w:eastAsia="x-none"/>
              </w:rPr>
              <w:t>(3)</w:t>
            </w:r>
          </w:p>
        </w:tc>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ღირებულება </w:t>
            </w:r>
            <w:r>
              <w:rPr>
                <w:rFonts w:ascii="Sylfaen" w:hAnsi="Sylfaen" w:cs="Sylfaen"/>
                <w:b/>
                <w:bCs/>
                <w:noProof/>
                <w:position w:val="5"/>
                <w:sz w:val="20"/>
                <w:szCs w:val="20"/>
                <w:lang w:eastAsia="x-none"/>
              </w:rPr>
              <w:t>(3)(4)</w:t>
            </w:r>
          </w:p>
        </w:tc>
      </w:tr>
      <w:tr w:rsidR="00D74962">
        <w:trPr>
          <w:trHeight w:val="150"/>
        </w:trPr>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141"/>
        </w:trPr>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150"/>
        </w:trPr>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347"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ჯამი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2. ყველა სხვა მასალა, რომელიც გამოიყენება თურქეთში, ალჟირში, მაროკოსა თუ ტუნისში აღნიშნული საქონელის საწარმოებლად, წარმოიშობა თურქეთში, ალჟირში, მაროკოსა თუ ტუნისში.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ქვემოთ მოცემულმა ტვირთმა გაიარა დამუშავება-გადამუშავება თურქეთის, ალჟირის, მაროკოსა თუ ტუნისის ფარგლებს გარეთ პან-ევრო-ხმელთაშუა ზღვის პრეფერენციული წარმოშობის წესების I დანართის მე-11 მუხლის შესაბამისად და მიიღო სრული დამატებითი ღირებულება: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CellMar>
          <w:left w:w="15" w:type="dxa"/>
          <w:right w:w="15" w:type="dxa"/>
        </w:tblCellMar>
        <w:tblLook w:val="0000" w:firstRow="0" w:lastRow="0" w:firstColumn="0" w:lastColumn="0" w:noHBand="0" w:noVBand="0"/>
      </w:tblPr>
      <w:tblGrid>
        <w:gridCol w:w="4656"/>
        <w:gridCol w:w="4673"/>
      </w:tblGrid>
      <w:tr w:rsidR="00D74962">
        <w:trPr>
          <w:trHeight w:val="520"/>
        </w:trPr>
        <w:tc>
          <w:tcPr>
            <w:tcW w:w="465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მიწოდებული საქონლის აღწერა </w:t>
            </w:r>
          </w:p>
        </w:tc>
        <w:tc>
          <w:tcPr>
            <w:tcW w:w="4673"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სრული დამატებითი ღირებულება, რომელიც მოპოვებულია თურქეთის, ალჟირის, მაროკოსა თუ ტუნისის ფარგლებს გარეთ </w:t>
            </w:r>
            <w:r>
              <w:rPr>
                <w:rFonts w:ascii="Sylfaen" w:hAnsi="Sylfaen" w:cs="Sylfaen"/>
                <w:b/>
                <w:bCs/>
                <w:noProof/>
                <w:position w:val="5"/>
                <w:sz w:val="20"/>
                <w:szCs w:val="20"/>
                <w:lang w:eastAsia="x-none"/>
              </w:rPr>
              <w:t>(5)</w:t>
            </w:r>
            <w:r>
              <w:rPr>
                <w:rFonts w:ascii="Sylfaen" w:hAnsi="Sylfaen" w:cs="Sylfaen"/>
                <w:b/>
                <w:bCs/>
                <w:noProof/>
                <w:sz w:val="20"/>
                <w:szCs w:val="20"/>
                <w:lang w:eastAsia="x-none"/>
              </w:rPr>
              <w:t xml:space="preserve"> </w:t>
            </w:r>
          </w:p>
        </w:tc>
      </w:tr>
      <w:tr w:rsidR="00D74962">
        <w:trPr>
          <w:trHeight w:val="180"/>
        </w:trPr>
        <w:tc>
          <w:tcPr>
            <w:tcW w:w="465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4673"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170"/>
        </w:trPr>
        <w:tc>
          <w:tcPr>
            <w:tcW w:w="465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4673"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180"/>
        </w:trPr>
        <w:tc>
          <w:tcPr>
            <w:tcW w:w="4656"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4673"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წინამდებარე დეკლარაცია მოქმედებს აღნიშნული საქონლის ყველა შემდგომ პარტიასთან მიმართებით, რომელიც მოდის .......................................................-დან ...........................................-ში(6)</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მე ვიღებ ვალდებულებას, რომ დაუყოვნებლივ შევატყობინებ ..........................................................................(</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თუ შეწყდება აღნიშნული დეკლარაციის მოქმედება.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(ადგილი და თარიღი)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მისამართი და ხელმოწერა;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ამას გარდა, ნათლად უნდა მიეთითოს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დეკლარაციის ხელმომწერი პირის სახელი)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მომხმარებლის სახელი და მისამართი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როდესაც ანგარიშფაქტურა, მიწოდების შესახებ შეტყობინება ან სხვა კომერციული დოკუმენტაცია, რომელსაც ერთვის დეკლარაცია, უკავშირდება სხვადასხვა ტიპის საქონელს, ან საქონელს, რომელიც არ მოიცავს წარმოშობის არმქონე მასალებს იმავე დოზით, მიმწოდებელმა უნდა უზრუნველყოს მათი დიფერენცირება. მაგალითად: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დოკუმენტი უკავშირდება 8510 სექციის ქვეშ მოქცეულ ელექტრონული მანქანის სხვადასხვა მოდელებს, რომელიც გამოყენებულ უნდა იქნეს სარეცხი მანქანების წარმოებისას 8450 სექციის ქვეშ. წარმოშობის არმქონე მასალების ხასიათი და ღირებულება, რომლებიც გამოიყენება ამგვარი მანქანების საწარმოებლად განსხვავდება მოდელების მიხედვით. შესაბამისად, მოდელები უნდა იქნეს დიფერენცირებული პირველ სვეტში და ინდიკაციები უნდა მიეთითოს მეორე სვეტში. ეს ორი ერთმანეთისგან განსხვავებით უნდა გაიწეროს, რათა სარეცხი მანქანების მწარმოებელს მიეცეს საშუალება, სწორი შეფასება მისცეს მისი პროდუქციის წარმოშობის სტატუსს, იმის გათვალისწინებით, თუ რომელი მოდელის ელექტრონულ მანქანას იყენებს იგი.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აღნიშნულ სვეტებში მოთხოვნილი ინდიკაციები მიეთითება აუცილებლობის შემთხვევაში.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მაგალითად: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ex 62-ე თავის წესი ტანსაცმლის შესახებ ამბობს, რომ შესაძლოა გამოყენებულ იქნეს წარმოშობის არმქონე ნართი. თუ ამგვარი ტანსაცმლის მწარმოებელი ტუნისში იყენებს ნაჭერს, რომელიც იმპორტირებულია თურქეთიდან, რომელის მიღებულ იქნა იქ წარმოშობის არმქონე ნართის მოქსოვის შედეგად, თურქეთის მიმწოდებლის მხრიდან საკმარისია, რომ მან თავის დეკლარაციაში აღწეროს წარმოშობის არმქონე მასალა, რომელიც გამოიყენება, როგორც ნართი და არ მიუთითოს ამგვარი ნართის დასათაურება და ღირებულება.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რკინის მწარმოებელი 7217 სექციის ქვეშ, რომელიც მას აწარმოებს წარმოშობის არმქონე რკინის ნაჭრებისგან, მეორე სვეტში მიუთითებს "რკინის ნაჭრები". როდესაც ეს მავთული გამოიყენება მანქანის პროდუქციისას, რომლისთვისაც წესი მოიცავს შეზღუდვას ყველა წარმოების არმქონე მასალისთვის, რომელიც გამოიყენება გარკვეული პროცენტულობის ღირებულებით, მესამე სვეტში მიეთითება წარმოშობის არმქონე ნაჭრების ღირებულება.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"მასალების ღირებულება" ნიშნავს საბაჟო ღირებულებას იმ წარმოშობის არმქონე მასალების იმპორტირებისას, რომელიც გამოიყენება, ან, თუ იგი არ არის ცნობილი და ვერ განისაზვრება, პირველი განსაზღვრადი ფასი, რომელიც გადაიხდება მასალებში თურქეთში, ალჟირში, მაროკოსა თუ ტუნისში. თითოეული გამოყენებული </w:t>
      </w:r>
      <w:r>
        <w:rPr>
          <w:rFonts w:ascii="Sylfaen" w:eastAsia="Times New Roman" w:hAnsi="Sylfaen" w:cs="Sylfaen"/>
          <w:noProof/>
          <w:sz w:val="24"/>
          <w:szCs w:val="24"/>
          <w:lang w:eastAsia="x-none"/>
        </w:rPr>
        <w:lastRenderedPageBreak/>
        <w:t>წარმოშობის არმქონე მასალის ზუსტი ღირებულება გამოითვლება საქონლის ერთ ერთეულზე, რომელიც გაწერილია პირველ სვეტში.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"მთლიანი დამატებითი ღირებულება" ნიშნავს თურქეთის, ალჟირის, მაროკოსა თუ ტუნისის ფარგლებს გარეთ აკუმულირებულ ხარჯებს, რაც მოიცავს მათზე დამატებული ყველა მასალის ღირებულებას. ზუსტი მთლიანი დამატებითი ღირებულება, რომელიც მიღებულია თურქეთის, ალჟირის, მაროკოსა თუ ტუნისის ფარგლებს გარეთ გამოითვლება საქონლის ერთ ერთეულზე, რომელიც გაწერილია პირველ სვეტში.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ჩასვით თარიღები. მიმწოდებლის გრძელვადიანი დეკლარაციის მოქმედების პერიოდი ჩვეულებრივ არ სცდება 12 თვეს და ექვემდებარება იმ ქვეყნის საბაჟო უწყების მიერ გაწერილ პირობებს, სადაც შემუშავდა მიმწოდებლის გრძელვადიანი დეკლარაცია.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E</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დეკლარაცია საქონლისთვის, რომელმაც გაიარა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დამუშავება-გადამუშავების პროცესი ევროპის თავისუფალი ვაჭრობის ასოციაციის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სახელმწიფოში, ან ტუნისში პრეფერენციული 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დეკლარაცია, რომლის ტექსტიც მოცემულია ქვემოთ, უნდა შემუშავდეს სქოლიოების შესაბამისად. თუმცა, არ არის საჭირო სქოლიოების გამეორება.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საქონლისთვის, რომელმაც გაიარა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დამუშავება-გადამუშავების პროცესი ევროპის თავისუფალი ვაჭრობის ასოციაციის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სახელმწიფოში ან ტუნისში პრეფერენციული 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მე, ქვემორე ხელმომწერი, თანდართული დოკუმენტით გათვალისწინებული საქონლის მიმწოდებელი, ვაცხადებ, რომ:</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შემდეგი მასალები, რომელიც არ არის წარმოშობილი ევროპის თავისუფალი ვაჭრობის ასოციაციის სახელმწიფოში თუ ტუნისში, გამოიყენება ევროპის თავისუფალი ვაჭრობის ასოციაციის სახელმწიფოში თუ ტუნისში ამ საქონლის საწარმოებლად:</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CellMar>
          <w:left w:w="15" w:type="dxa"/>
          <w:right w:w="15" w:type="dxa"/>
        </w:tblCellMar>
        <w:tblLook w:val="0000" w:firstRow="0" w:lastRow="0" w:firstColumn="0" w:lastColumn="0" w:noHBand="0" w:noVBand="0"/>
      </w:tblPr>
      <w:tblGrid>
        <w:gridCol w:w="2325"/>
        <w:gridCol w:w="2324"/>
        <w:gridCol w:w="2324"/>
        <w:gridCol w:w="2342"/>
      </w:tblGrid>
      <w:tr w:rsidR="00D74962">
        <w:trPr>
          <w:trHeight w:val="1043"/>
        </w:trPr>
        <w:tc>
          <w:tcPr>
            <w:tcW w:w="232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lastRenderedPageBreak/>
              <w:t>მიწოდებული საქონლის აღწერა</w:t>
            </w:r>
            <w:r>
              <w:rPr>
                <w:rFonts w:ascii="Sylfaen" w:hAnsi="Sylfaen" w:cs="Sylfaen"/>
                <w:b/>
                <w:bCs/>
                <w:noProof/>
                <w:position w:val="5"/>
                <w:sz w:val="20"/>
                <w:szCs w:val="20"/>
                <w:lang w:eastAsia="x-none"/>
              </w:rPr>
              <w:t>(1)</w:t>
            </w:r>
            <w:r>
              <w:rPr>
                <w:rFonts w:ascii="Sylfaen" w:hAnsi="Sylfaen" w:cs="Sylfaen"/>
                <w:b/>
                <w:bCs/>
                <w:noProof/>
                <w:sz w:val="20"/>
                <w:szCs w:val="20"/>
                <w:lang w:eastAsia="x-none"/>
              </w:rPr>
              <w:t xml:space="preserve"> </w:t>
            </w:r>
          </w:p>
        </w:tc>
        <w:tc>
          <w:tcPr>
            <w:tcW w:w="232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წარმოშობის არმქონე გამოყენებული მასალების აღწერა </w:t>
            </w:r>
          </w:p>
        </w:tc>
        <w:tc>
          <w:tcPr>
            <w:tcW w:w="2324"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სათაური </w:t>
            </w:r>
            <w:r>
              <w:rPr>
                <w:rFonts w:ascii="Sylfaen" w:hAnsi="Sylfaen" w:cs="Sylfaen"/>
                <w:b/>
                <w:bCs/>
                <w:noProof/>
                <w:position w:val="5"/>
                <w:sz w:val="20"/>
                <w:szCs w:val="20"/>
                <w:lang w:eastAsia="x-none"/>
              </w:rPr>
              <w:t>(2)</w:t>
            </w:r>
            <w:r>
              <w:rPr>
                <w:rFonts w:ascii="Sylfaen" w:hAnsi="Sylfaen" w:cs="Sylfaen"/>
                <w:b/>
                <w:bCs/>
                <w:noProof/>
                <w:sz w:val="20"/>
                <w:szCs w:val="20"/>
                <w:lang w:eastAsia="x-none"/>
              </w:rPr>
              <w:t xml:space="preserve"> </w:t>
            </w:r>
          </w:p>
        </w:tc>
        <w:tc>
          <w:tcPr>
            <w:tcW w:w="2342"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ღირებულება </w:t>
            </w:r>
            <w:r>
              <w:rPr>
                <w:rFonts w:ascii="Sylfaen" w:hAnsi="Sylfaen" w:cs="Sylfaen"/>
                <w:b/>
                <w:bCs/>
                <w:noProof/>
                <w:position w:val="5"/>
                <w:sz w:val="20"/>
                <w:szCs w:val="20"/>
                <w:lang w:eastAsia="x-none"/>
              </w:rPr>
              <w:t>(2)(3)</w:t>
            </w:r>
            <w:r>
              <w:rPr>
                <w:rFonts w:ascii="Sylfaen" w:hAnsi="Sylfaen" w:cs="Sylfaen"/>
                <w:b/>
                <w:bCs/>
                <w:noProof/>
                <w:sz w:val="20"/>
                <w:szCs w:val="20"/>
                <w:lang w:eastAsia="x-none"/>
              </w:rPr>
              <w:t xml:space="preserve"> </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ჯამი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ყველა სხვა მასალა, რომელიც გამოიყენება ევროპის თავისუფალი ვაჭრობის ასოციაციის სახელმწიფოში თუ ტუნისში აღნიშნული საქონელის საწარმოებლად, წარმოიშობა ევროპის თავისუფალი ვაჭრობის ასოციაციის სახელმწიფოში თუ ტუნისში.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ქვემოთ მოცემულმა ტვირთმა გაიარა დამუშავება-გადამუშავება ევროპის თავისუფალი ვაჭრობის ასოციაციის სახელმწიფოს თუ ტუნისის ფარგლებს გარეთ პან-ევრო-ხმელთაშუა ზღვის პრეფერენციული წარმოშობის წესების I დანართის მე-11 მუხლის შესაბამისად და მიიღო სრული დამატებითი ღირებულება: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მიწოდებული საქონლის აღწერა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r>
        <w:rPr>
          <w:rFonts w:ascii="Sylfaen" w:eastAsia="Times New Roman" w:hAnsi="Sylfaen" w:cs="Sylfaen"/>
          <w:noProof/>
          <w:sz w:val="24"/>
          <w:szCs w:val="24"/>
          <w:lang w:eastAsia="x-none"/>
        </w:rPr>
        <w:t>სრული დამატებითი ღირებულება, რომელიც მოპოვებულია ევროპის თავისუფალი ვაჭრობის ასოციაციის სახელმწიფოს თუ ტუნისის ფარგლებს გარეთ (</w:t>
      </w:r>
      <w:r>
        <w:rPr>
          <w:rFonts w:ascii="Sylfaen" w:hAnsi="Sylfaen" w:cs="Sylfaen"/>
          <w:noProof/>
          <w:position w:val="6"/>
          <w:sz w:val="24"/>
          <w:szCs w:val="24"/>
          <w:lang w:eastAsia="x-none"/>
        </w:rPr>
        <w:t>4</w:t>
      </w:r>
      <w:r>
        <w:rPr>
          <w:rFonts w:ascii="Sylfaen" w:hAnsi="Sylfaen" w:cs="Sylfaen"/>
          <w:noProof/>
          <w:sz w:val="24"/>
          <w:szCs w:val="24"/>
          <w:lang w:eastAsia="x-none"/>
        </w:rPr>
        <w:t>)</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hAnsi="Sylfaen" w:cs="Sylfaen"/>
          <w:noProof/>
          <w:sz w:val="24"/>
          <w:szCs w:val="24"/>
          <w:lang w:eastAsia="x-none"/>
        </w:rPr>
        <w:t>(</w:t>
      </w:r>
      <w:r>
        <w:rPr>
          <w:rFonts w:ascii="Sylfaen" w:eastAsia="Times New Roman" w:hAnsi="Sylfaen" w:cs="Sylfaen"/>
          <w:noProof/>
          <w:sz w:val="24"/>
          <w:szCs w:val="24"/>
          <w:lang w:eastAsia="x-none"/>
        </w:rPr>
        <w:t>ადგილი და თარიღი)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მისამართი და ხელმოწერა; ამას გარდა, ნათლად უნდა მიეთითოს დეკლარაციის ხელმომწერი პირის სახელი)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როდესაც ანგარიშფაქტურა, მიწოდების შესახებ შეტყობინება ან სხვა კომერციული დოკუმენტაცია, რომელსაც ერთვის დეკლარაცია, უკავშირდება სხვადასხვა ტიპის საქონელს, ან საქონელს, რომელიც არ მოიცავს წარმოშობის არმქონე მასალებს იმავე დოზით, მიმწოდებელმა უნდა უზრუნველყოს მათი დიფერენცირება. მაგალითად: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დოკუმენტი უკავშირდება 8510 სექციის ქვეშ მოქცეულ ელექტრონული მანქანის სხვადასხვა მოდელებს, რომელიც გამოყენებულ უნდა იქნეს სარეცხი მანქანების წარმოებისას 8450 სექციის ქვეშ. წარმოშობის არმქონე მასალების ხასიათი და ღირებულება, რომლებიც გამოიყენება ამგვარი მანქანების საწარმოებლად განსხვავდება მოდელების მიხედვით. შესაბამისად, მოდელები უნდა იქნეს დიფერენცირებული პირველ სვეტში და ინდიკაციები უნდა მიეთითოს მეორე სვეტში. ეს ორი ერთმანეთისგან განსხვავებით უნდა გაიწეროს, რათა სარეცხი მანქანების მწარმოებელს მიეცეს საშუალება, სწორი შეფასება მისცეს მისი პროდუქციის წარმოშობის სტატუსს, იმის გათვალისწინებით, თუ რომელი მოდელის ელექტრონულ მანქანას იყენებს იგი.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აღნიშნულ სვეტებში მოთხოვნილი ინდიკაციები მიეთითება აუცილებლობის შემთხვევაში.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მაგალითად: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ex 62-ე თავის წესი ტანსაცმლის შესახებ ამბობს, რომ შესაძლოა გამოყენებულ იქნეს წარმოშობის არმქონე ნართი. თუ ამგვარი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ტანსაცმლის მწარმოებელი ტუნისში იყენებს ნაჭერს, რომელიც იმპორტირებულია ევროპის თავისუფალი ვაჭრობის ასოციაციის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სახელმწიფოდან, რომელის მიღებულ იქნა იქ წარმოშობის არმქონე ნართის მოქსოვის შედეგად, ევროპის თავისუფალი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ვაჭრობის ასოციაციის სახელმწიფოს მიმწოდებლის მხრიდან საკმარისია, რომ მან თავის დეკლარაციაში აღწეროს წარმოშობის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არმქონე მასალა, რომელიც გამოიყენება, როგორც ნართი და არმიუთითოს ამგვარი ნართის დასათაურება და ღირებულება.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რკინის მწარმოებელი 7217 სექციის ქვეშ, რომელიც მას აწარმოებს წარმოშობის არმქონე რკინის ნაჭრებისგან, მეორე სვეტში მიუთითებს "რკინის ნაჭრები". როდესაც ეს მავთული გამოიყენება მანქანის პროდუქციისას, რომლისთვისაც წესი მოიცავს შეზღუდვას ყველა წარმოების არმქონე მასალისთვის, რომელიც გამოიყენება გარკვეული პროცენტულობის ღირებულებით, მესამე სვეტში მიეთითება წარმოშობის არმქონე ნაჭრების ღირებულება.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"მასალების ღირებულება" ნიშნავს საბაჟო ღირებულებას იმ წარმოშობის არმქონე მასალების იმპორტირებისას, რომელიც გამოიყენება, ან, თუ იგი არ არის ცნობილი და ვერ განისაზვრება, პირველი განსაზღვრადი ფასი, რომელიც გადაიხდება მასალებში ევროპის თავისუფალი ასოციაციის სახელმწიფოში თუ ტუნისში. თითოეული გამოყენებული წარმოშობის არმქონე მასალის ზუსტი ღირებულება გამოითვლება საქონლის ერთ ერთეულზე, რომელიც გაწერილია პირველ სვეტში.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(4) "მთლიანი დამატებითი ღირებულება" ნიშნავს ევროპის თავისუფალი ასოციაციის სახელმწიფოს თუ ტუნისის ფარგლებს გარეთ აკუმულირებულ ხარჯებს, რაც მოიცავს მათზე დამატებული ყველა მასალის ღირებულებას. ზუსტი მთლიანი დამატებითი ღირებულება, რომელიც მიღებულია ევროპის თავისუფალი ასოციაციის სახელმწიფოშის თუ ტუნისის ფარგლებს გარეთ გამოითვლება საქონლის ერთ ერთეულზე, რომელიც გაწერილია პირველ სვეტში. </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დანართი F</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გრძელვადიანი დეკლარაცია საქონლისთვის, რომელმაც გაიარა დამუშავება-გადამუშავების პროცესი ევროპის თავისუფალი ასოციაციის სახელმწიფოში ან ტუნისში პრეფერენციული 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lastRenderedPageBreak/>
        <w:t>მიმწოდებლის გრძელვადიანი დეკლარაცია, რომლის ტექსტიც მოცემულია ქვემოთ, უნდა შემუშავდეს სქოლიოების შესაბამისად. თუმცა, არ არის საჭირო სქოლიოების გამეორება.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eastAsia="x-none"/>
        </w:rPr>
      </w:pPr>
      <w:r>
        <w:rPr>
          <w:rFonts w:ascii="Sylfaen" w:eastAsia="Times New Roman" w:hAnsi="Sylfaen" w:cs="Sylfaen"/>
          <w:b/>
          <w:bCs/>
          <w:noProof/>
          <w:sz w:val="24"/>
          <w:szCs w:val="24"/>
          <w:lang w:eastAsia="x-none"/>
        </w:rPr>
        <w:t>მიმწოდებლის გრძელვადიანი დეკლარაცია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საქონლისთვის, რომელმაც გაიარა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დამუშავება-გადამუშავების პროცესი ევროპის თავისუფალი ასოციაციის სახელმწიფოში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ტუნისში პრეფერენციული წარმოშობის სტატუსის მიღების გარეშე</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მე, ქვემორე ხელმომწერი, თანდართული დოკუმენტით გათვალისწინებული საქონლის მიმწოდებელი, რომელიც რეგულარულად მიეწოდება ..........................(</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ვაცხადებ, რომ:</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შემდეგი მასალები, რომელიც არ არის წარმოშობილი ევროპის თავისუფალი ასოციაციის სახელმწიფოში თუ ტუნისში, გამოიყენება ევროპის თავისუფალი ასოციაციის სახელმწიფოში თუ ტუნისში ამ საქონლის საწარმოებლად:</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CellMar>
          <w:left w:w="15" w:type="dxa"/>
          <w:right w:w="15" w:type="dxa"/>
        </w:tblCellMar>
        <w:tblLook w:val="0000" w:firstRow="0" w:lastRow="0" w:firstColumn="0" w:lastColumn="0" w:noHBand="0" w:noVBand="0"/>
      </w:tblPr>
      <w:tblGrid>
        <w:gridCol w:w="2475"/>
        <w:gridCol w:w="2475"/>
        <w:gridCol w:w="2475"/>
        <w:gridCol w:w="2475"/>
      </w:tblGrid>
      <w:tr w:rsidR="00D74962">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მიწოდებული საქონლის აღწერა</w:t>
            </w:r>
            <w:r>
              <w:rPr>
                <w:rFonts w:ascii="Sylfaen" w:hAnsi="Sylfaen" w:cs="Sylfaen"/>
                <w:b/>
                <w:bCs/>
                <w:noProof/>
                <w:position w:val="5"/>
                <w:sz w:val="20"/>
                <w:szCs w:val="20"/>
                <w:lang w:eastAsia="x-none"/>
              </w:rPr>
              <w:t>(2)</w:t>
            </w:r>
            <w:r>
              <w:rPr>
                <w:rFonts w:ascii="Sylfaen" w:hAnsi="Sylfaen" w:cs="Sylfaen"/>
                <w:b/>
                <w:bCs/>
                <w:noProof/>
                <w:sz w:val="20"/>
                <w:szCs w:val="20"/>
                <w:lang w:eastAsia="x-none"/>
              </w:rPr>
              <w:t xml:space="preserve"> </w:t>
            </w:r>
          </w:p>
        </w:tc>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წარმოშობის არმქონე გამოყენებული მასალების აღწერა </w:t>
            </w:r>
          </w:p>
        </w:tc>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სათაური </w:t>
            </w:r>
            <w:r>
              <w:rPr>
                <w:rFonts w:ascii="Sylfaen" w:hAnsi="Sylfaen" w:cs="Sylfaen"/>
                <w:b/>
                <w:bCs/>
                <w:noProof/>
                <w:position w:val="5"/>
                <w:sz w:val="20"/>
                <w:szCs w:val="20"/>
                <w:lang w:eastAsia="x-none"/>
              </w:rPr>
              <w:t>(3)</w:t>
            </w:r>
            <w:r>
              <w:rPr>
                <w:rFonts w:ascii="Sylfaen" w:hAnsi="Sylfaen" w:cs="Sylfaen"/>
                <w:b/>
                <w:bCs/>
                <w:noProof/>
                <w:sz w:val="20"/>
                <w:szCs w:val="20"/>
                <w:lang w:eastAsia="x-none"/>
              </w:rPr>
              <w:t xml:space="preserve"> </w:t>
            </w:r>
          </w:p>
        </w:tc>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წარმოშობის არმქონე გამოყენებული მასალების ღირებულება </w:t>
            </w:r>
            <w:r>
              <w:rPr>
                <w:rFonts w:ascii="Sylfaen" w:hAnsi="Sylfaen" w:cs="Sylfaen"/>
                <w:b/>
                <w:bCs/>
                <w:noProof/>
                <w:position w:val="5"/>
                <w:sz w:val="20"/>
                <w:szCs w:val="20"/>
                <w:lang w:eastAsia="x-none"/>
              </w:rPr>
              <w:t>(3)(4)</w:t>
            </w:r>
            <w:r>
              <w:rPr>
                <w:rFonts w:ascii="Sylfaen" w:hAnsi="Sylfaen" w:cs="Sylfaen"/>
                <w:b/>
                <w:bCs/>
                <w:noProof/>
                <w:sz w:val="20"/>
                <w:szCs w:val="20"/>
                <w:lang w:eastAsia="x-none"/>
              </w:rPr>
              <w:t xml:space="preserve"> </w:t>
            </w:r>
          </w:p>
        </w:tc>
      </w:tr>
      <w:tr w:rsidR="00D74962">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2475"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ჯამი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ყველა სხვა მასალა, რომელიც გამოიყენება ევროპის თავისუფალი ასოციაციის სახელმწიფოში თუ ტუნისში აღნიშნული საქონელის საწარმოებლად, წარმოიშობა ევროპის თავისუფალი ასოციაციის სახელმწიფოში თუ ტუნისში.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ქვემოთ მოცემულმა ტვირთმა გაიარა დამუშავება-გადამუშავება ევროპის თავისუფალი ასოციაციის სახელმწიფოს თუ ტუნისის ფარგლებს გარეთ პან-ევრო-ხმელთაშუა ზღვის პრეფერენციული წარმოშობის წესების I დანართის მე-11 მუხლის შესაბამისად და მიიღო სრული დამატებითი ღირებულება: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tbl>
      <w:tblPr>
        <w:tblW w:w="0" w:type="auto"/>
        <w:tblInd w:w="-8" w:type="dxa"/>
        <w:tblLayout w:type="fixed"/>
        <w:tblCellMar>
          <w:left w:w="15" w:type="dxa"/>
          <w:right w:w="15" w:type="dxa"/>
        </w:tblCellMar>
        <w:tblLook w:val="0000" w:firstRow="0" w:lastRow="0" w:firstColumn="0" w:lastColumn="0" w:noHBand="0" w:noVBand="0"/>
      </w:tblPr>
      <w:tblGrid>
        <w:gridCol w:w="3600"/>
        <w:gridCol w:w="5760"/>
      </w:tblGrid>
      <w:tr w:rsidR="00D74962">
        <w:trPr>
          <w:trHeight w:val="513"/>
        </w:trPr>
        <w:tc>
          <w:tcPr>
            <w:tcW w:w="3600"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 xml:space="preserve">მიწოდებული საქონლის აღწერა </w:t>
            </w:r>
          </w:p>
        </w:tc>
        <w:tc>
          <w:tcPr>
            <w:tcW w:w="5760"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eastAsia="Times New Roman" w:hAnsi="Sylfaen" w:cs="Sylfaen"/>
                <w:b/>
                <w:bCs/>
                <w:noProof/>
                <w:sz w:val="20"/>
                <w:szCs w:val="20"/>
                <w:lang w:eastAsia="x-none"/>
              </w:rPr>
              <w:t>სრული დამატებითი ღირებულება, რომელიც მოპოვებულია ევროპის თავისუფალი ასოციაციის სახელმწიფოს თუ ტუნისის ფარგლებს გარეთ </w:t>
            </w:r>
            <w:r>
              <w:rPr>
                <w:rFonts w:ascii="Sylfaen" w:hAnsi="Sylfaen" w:cs="Sylfaen"/>
                <w:b/>
                <w:bCs/>
                <w:noProof/>
                <w:position w:val="5"/>
                <w:sz w:val="20"/>
                <w:szCs w:val="20"/>
                <w:lang w:eastAsia="x-none"/>
              </w:rPr>
              <w:t>(5)</w:t>
            </w:r>
            <w:r>
              <w:rPr>
                <w:rFonts w:ascii="Sylfaen" w:hAnsi="Sylfaen" w:cs="Sylfaen"/>
                <w:b/>
                <w:bCs/>
                <w:noProof/>
                <w:sz w:val="20"/>
                <w:szCs w:val="20"/>
                <w:lang w:eastAsia="x-none"/>
              </w:rPr>
              <w:t xml:space="preserve"> </w:t>
            </w:r>
          </w:p>
        </w:tc>
      </w:tr>
      <w:tr w:rsidR="00D74962">
        <w:trPr>
          <w:trHeight w:val="177"/>
        </w:trPr>
        <w:tc>
          <w:tcPr>
            <w:tcW w:w="3600"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5760"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167"/>
        </w:trPr>
        <w:tc>
          <w:tcPr>
            <w:tcW w:w="3600"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c>
          <w:tcPr>
            <w:tcW w:w="5760"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r w:rsidR="00D74962">
        <w:trPr>
          <w:trHeight w:val="177"/>
        </w:trPr>
        <w:tc>
          <w:tcPr>
            <w:tcW w:w="3600"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lastRenderedPageBreak/>
              <w:t> </w:t>
            </w:r>
          </w:p>
        </w:tc>
        <w:tc>
          <w:tcPr>
            <w:tcW w:w="5760" w:type="dxa"/>
            <w:tcBorders>
              <w:top w:val="single" w:sz="6" w:space="0" w:color="auto"/>
              <w:left w:val="single" w:sz="6" w:space="0" w:color="auto"/>
              <w:bottom w:val="single" w:sz="6" w:space="0" w:color="auto"/>
              <w:right w:val="single" w:sz="6" w:space="0" w:color="auto"/>
            </w:tcBorders>
            <w:vAlign w:val="center"/>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0"/>
                <w:szCs w:val="20"/>
                <w:lang w:eastAsia="x-none"/>
              </w:rPr>
            </w:pPr>
            <w:r>
              <w:rPr>
                <w:rFonts w:ascii="Sylfaen" w:hAnsi="Sylfaen" w:cs="Sylfaen"/>
                <w:noProof/>
                <w:sz w:val="20"/>
                <w:szCs w:val="20"/>
                <w:lang w:eastAsia="x-none"/>
              </w:rPr>
              <w:t> </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წინამდებარე დეკლარაცია მოქმედებს აღნიშნული საქონლის ყველა შემდგომ პარტიასთან მიმართებით, რომელიც მოდის .......................................................-დან ...........................................-ში(6)</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მე ვიღებ ვალდებულებას, რომ დაუყოვნებლივ შევატყობინებ ..........................................................................(</w:t>
      </w:r>
      <w:r>
        <w:rPr>
          <w:rFonts w:ascii="Sylfaen" w:hAnsi="Sylfaen" w:cs="Sylfaen"/>
          <w:noProof/>
          <w:position w:val="6"/>
          <w:sz w:val="24"/>
          <w:szCs w:val="24"/>
          <w:lang w:eastAsia="x-none"/>
        </w:rPr>
        <w:t>1</w:t>
      </w:r>
      <w:r>
        <w:rPr>
          <w:rFonts w:ascii="Sylfaen" w:hAnsi="Sylfaen" w:cs="Sylfaen"/>
          <w:noProof/>
          <w:sz w:val="24"/>
          <w:szCs w:val="24"/>
          <w:lang w:eastAsia="x-none"/>
        </w:rPr>
        <w:t xml:space="preserve">), </w:t>
      </w:r>
      <w:r>
        <w:rPr>
          <w:rFonts w:ascii="Sylfaen" w:eastAsia="Times New Roman" w:hAnsi="Sylfaen" w:cs="Sylfaen"/>
          <w:noProof/>
          <w:sz w:val="24"/>
          <w:szCs w:val="24"/>
          <w:lang w:eastAsia="x-none"/>
        </w:rPr>
        <w:t>თუ შეწყდება აღნიშნული დეკლარაციის მოქმედება.</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 (ადგილი და თარიღი)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(მიმწოდებლის მისამართი და ხელმოწერა;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ამას გარდა, ნათლად უნდა მიეთითოს</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დეკლარაციის ხელმომწერი პირის სახელი)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მომხმარებლის სახელი და მისამართი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როდესაც ანგარიშფაქტურა, მიწოდების შესახებ შეტყობინება ან სხვა კომერციული დოკუმენტაცია, რომელსაც ერთვის დეკლარაცია, უკავშირდება სხვადასხვა ტიპის საქონელს, ან საქონელს, რომელიც არ მოიცავს წარმოშობის არმქონე მასალებს იმავე დოზით, მიმწოდებელმა უნდა უზრუნველყოს მათი დიფერენცირება. მაგალითად: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დოკუმენტი უკავშირდება 8510 სექციის ქვეშ მოქცეულ ელექტრონული მანქანის სხვადასხვა მოდელებს, რომელიც გამოყენებულ უნდა იქნეს სარეცხი მანქანების წარმოებისას 8450 სექციის ქვეშ. წარმოშობის არმქონე მასალების ხასიათი და ღირებულება, რომლებიც გამოიყენება ამგვარი მანქანების საწარმოებლად განსხვავდება მოდელების მიხედვით. შესაბამისად, მოდელები უნდა იქნეს დიფერენცირებული პირველ სვეტში და ინდიკაციები უნდა მიეთითოს მეორე სვეტში. ეს ორი ერთმანეთისგან განსხვავებით უნდა გაიწეროს, რათა სარეცხი მანქანების მწარმოებელს მიეცეს საშუალება, სწორი შეფასება მისცეს მისი პროდუქციის წარმოშობის სტატუსს, იმის გათვალისწინებით, თუ რომელი მოდელის ელექტრონულ მანქანას იყენებს იგი.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(3) აღნიშნულ სვეტებში მოთხოვნილი ინდიკაციები მიეთითება აუცილებლობის შემთხვევაში.</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მაგალითად:</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 xml:space="preserve">ex 62-ე თავის წესი ტანსაცმლის შესახებ ამბობს, რომ შესაძლოა გამოყენებულ იქნეს წარმოშობის არმქონე ნართი. თუ ამგვარი ტანსაცმლის მწარმოებელი ტუნისში იყენებს ნაჭერს, რომელიც იმპორტირებულია ევროპის თავისუფალი ასოციაციის სახელმწიფოდან, რომელის მიღებულ იქნა იქ წარმოშობის არმქონე ნართის მოქსოვის </w:t>
      </w:r>
      <w:r>
        <w:rPr>
          <w:rFonts w:ascii="Sylfaen" w:eastAsia="Times New Roman" w:hAnsi="Sylfaen" w:cs="Sylfaen"/>
          <w:noProof/>
          <w:sz w:val="24"/>
          <w:szCs w:val="24"/>
          <w:lang w:eastAsia="x-none"/>
        </w:rPr>
        <w:lastRenderedPageBreak/>
        <w:t>შედეგად, ევროპის თავისუფალი ასოციაციის სახელმწიფოს მიმწოდებლის მხრიდან საკმარისია, რომ მან თავის დეკლარაციაში აღწეროს წარმოშობის არმქონე მასალა, რომელიც გამოიყენება, როგორც ნართი და არ მიუთითოს ამგვარი ნართის დასათაურება და ღირებულება.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რკინის მწარმოებელი 7217 სექციის ქვეშ, რომელიც მას აწარმოებს წარმოშობის არმქონე რკინის ნაჭრებისგან, მეორე სვეტში მიუთითებს "რკინის ნაჭრები". როდესაც ეს მავთული გამოიყენება მანქანის პროდუქციისას, რომლისთვისაც წესი მოიცავს შეზღუდვას ყველა წარმოების არმქონე მასალისთვის, რომელიც გამოიყენება გარკვეული პროცენტულობის ღირებულებით, მესამე სვეტში მიეთითება წარმოშობის არმქონე ნაჭრების ღირებულება.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(4) "მასალების ღირებულება" ნიშნავს საბაჟო ღირებულებას იმ წარმოშობის არმქონე მასალების იმპორტირებისას, რომელიც გამოიყენება, ან, თუ იგი არ არის ცნობილი და ვერ განისაზვრება, პირველი განსაზღვრადი ფასი, რომელიც გადაიხდება მასალებში ევროპის თავისუფალი ასოციაციის სახელმწიფოში თუ ტუნისში. თითოეული გამოყენებული წარმოშობის არმქონე მასალის ზუსტი ღირებულება გამოითვლება საქონლის ერთ ერთეულზე, რომელიც გაწერილია პირველ სვეტში.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(5) "მთლიანი დამატებითი ღირებულება" ნიშნავს ევროპის თავისუფალი ასოციაციის სახელმწიფოს თუ ტუნისის ფარგლებს გარეთ აკუმულირებულ ხარჯებს, რაც მოიცავს მათზე დამატებული ყველა მასალის ღირებულებას. ზუსტი მთლიანი დამატებითი ღირებულება, რომელიც მიღებულია ევროპის თავისუფალი ასოციაციის სახელმწიფოს თუ ტუნისის ფარგლებს გარეთ გამოითვლება საქონლის ერთ ერთეულზე, რომელიც გაწერილია პირველ სვეტში.</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(6) ჩასვით თარიღები. მიმწოდებლის გრძელვადიანი დეკლარაციის მოქმედების პერიოდი ჩვეულებრივ არ სცდება 12 თვეს და ექვემდებარება იმ ქვეყნის საბაჟო უწყების მიერ გაწერილ პირობებს, სადაც შემუშავდა მიმწოდებლის გრძელვადიანი დეკლარაცია.</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[1] ლიხტენშტეინსა და შვეიცარიას შორის არსებული საბაჟო კავშირის გამო, პროდუქცია, რომელიც წარმოშობილია ლიხტენშტეინში, ჩაითვლება შვეიცარიაში წარმოშობილად.</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Sylfaen"/>
          <w:noProof/>
          <w:sz w:val="24"/>
          <w:szCs w:val="24"/>
          <w:lang w:eastAsia="x-none"/>
        </w:rPr>
      </w:pPr>
      <w:r>
        <w:rPr>
          <w:rFonts w:ascii="Sylfaen" w:eastAsia="Times New Roman" w:hAnsi="Sylfaen" w:cs="Sylfaen"/>
          <w:noProof/>
          <w:sz w:val="24"/>
          <w:szCs w:val="24"/>
          <w:lang w:eastAsia="x-none"/>
        </w:rPr>
        <w:t>[2] ლიხტენშტეინის სამთავროს გააჩნია საბაჟო კავშირი შვეიცარიასთან და წარმოადგენს ევროპის ეკონომიკური სივრცის შესახებ შეთანხმების ხელშემკვრელ მხარეს.</w:t>
      </w:r>
    </w:p>
    <w:p w:rsidR="00D74962" w:rsidRDefault="00D74962">
      <w:pPr>
        <w:pStyle w:val="Normal0"/>
        <w:jc w:val="center"/>
        <w:rPr>
          <w:rFonts w:ascii="Sylfaen" w:hAnsi="Sylfaen" w:cs="Sylfaen"/>
          <w:b/>
          <w:bCs/>
          <w:noProof/>
          <w:sz w:val="32"/>
          <w:szCs w:val="32"/>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COUNCIL DECISION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of 26 March 2012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on the conclusion of the Regional Convention on pan-Euro-Mediterranean preferential rules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(2013/94/EU)</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THE COUNCIL OF THE EUROPEAN UNION,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Having regard to the Treaty on the Functioning of the European Union, and in particular the first subparagraph of Article 207(4), in conjunction with Article 218(6)(a) thereof,</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Having regard to the proposal from the European Commission,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Having regard to the consent of the European Parliament,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Whereas: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85"/>
        <w:gridCol w:w="454"/>
        <w:gridCol w:w="8171"/>
      </w:tblGrid>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w:t>
            </w:r>
          </w:p>
        </w:tc>
        <w:tc>
          <w:tcPr>
            <w:tcW w:w="86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On 26 November 2009 the Council authorised the Commission to open negotiations with the EFTA States, the participants in the Barcelona Process, the participants in the Stabilisation and Association Process and the Faroe Islands on the Regional Convention on pan-Euro-Mediterranean preferential rules of origin, hereinafter referred to as </w:t>
            </w:r>
            <w:r>
              <w:rPr>
                <w:rFonts w:ascii="Times New Roman" w:eastAsia="Times New Roman" w:hAnsi="Times New Roman" w:cs="Times New Roman"/>
                <w:noProof/>
                <w:color w:val="444444"/>
                <w:sz w:val="24"/>
                <w:szCs w:val="24"/>
                <w:lang w:eastAsia="x-none"/>
              </w:rPr>
              <w:t>‘the Convention’.</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w:t>
            </w:r>
          </w:p>
        </w:tc>
        <w:tc>
          <w:tcPr>
            <w:tcW w:w="86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On 9 December 2009 the text of the Convention was endorsed by the Euromed Trade Ministers at their Conference held in Brussels.</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w:t>
            </w:r>
          </w:p>
        </w:tc>
        <w:tc>
          <w:tcPr>
            <w:tcW w:w="86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In accordance with Council Decision 2013/93/EU</w:t>
            </w:r>
            <w:hyperlink r:id="rId7" w:anchor="ntr1-L_2013054EN.01000301-E0001"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1</w:t>
              </w:r>
              <w:r>
                <w:rPr>
                  <w:rFonts w:ascii="Times New Roman" w:hAnsi="Times New Roman" w:cs="Times New Roman"/>
                  <w:noProof/>
                  <w:color w:val="800080"/>
                  <w:sz w:val="24"/>
                  <w:szCs w:val="24"/>
                  <w:lang w:eastAsia="x-none"/>
                </w:rPr>
                <w:t>)</w:t>
              </w:r>
            </w:hyperlink>
            <w:r>
              <w:rPr>
                <w:rFonts w:ascii="Times New Roman" w:hAnsi="Times New Roman" w:cs="Times New Roman"/>
                <w:noProof/>
                <w:color w:val="444444"/>
                <w:sz w:val="24"/>
                <w:szCs w:val="24"/>
                <w:lang w:eastAsia="x-none"/>
              </w:rPr>
              <w:t>, and subject to its conclusion at a later date, the Convention was signed on behalf of the European Union on 14 April 2011.</w:t>
            </w:r>
          </w:p>
        </w:tc>
      </w:tr>
      <w:tr w:rsidR="00D74962">
        <w:tc>
          <w:tcPr>
            <w:tcW w:w="83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(4)</w:t>
            </w:r>
          </w:p>
        </w:tc>
        <w:tc>
          <w:tcPr>
            <w:tcW w:w="817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Convention should be concluded,</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HAS ADOPTED THIS DECISION: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Regional Convention on pan-Euro-Mediterranean preferential rules of origin is hereby approved on behalf of the European Union.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text of the Convention is attached to this Decision.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President of the Council shall designate the person empowered, on behalf of the European Union, to deposit the instrument of acceptance provided for in Article 10 of the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Commission shall represent the European Union in the Joint Committee established by Article 3 of the Convention. Representatives of Member States may attend the Joint Committee meetings.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This Decision shall enter into force on the day of its adoption.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Done at Brussels, 26 March 2012.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For the Council</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The President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N. WAMMEN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REGIONAL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on pan-Euro-Mediterranean preferential rules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EUROPEAN UNION,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ICELAND,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PRINCIPALITY OF LIECHTENSTEIN,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KINGDOM OF NORWAY,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SWISS CONFEDERATION,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hereinafter referred to as </w:t>
      </w:r>
      <w:r>
        <w:rPr>
          <w:rFonts w:ascii="Times New Roman" w:eastAsia="Times New Roman" w:hAnsi="Times New Roman" w:cs="Times New Roman"/>
          <w:noProof/>
          <w:color w:val="444444"/>
          <w:sz w:val="24"/>
          <w:szCs w:val="24"/>
          <w:lang w:eastAsia="x-none"/>
        </w:rPr>
        <w:t>‘the EFTA States’,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PEOPLE’S DEMOCRATIC REPUBLIC OF ALGERIA,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ARAB REPUBLIC OF EGYPT,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lastRenderedPageBreak/>
        <w:t>THE STATE OF ISRAEL,</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HASHEMITE KINGDOM OF JORDAN,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REPUBLIC OF LEBANON,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KINGDOM OF MOROCCO,</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PALESTINE LIBERATION ORGANISATION FOR THE BENEFIT OF THE PALESTINIAN AUTHORITY OF THE WEST BANK AND THE GAZA STRIP,</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SYRIAN ARAB REPUBLIC,</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REPUBLIC OF TUNISIA,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REPUBLIC OF TURKEY,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hereinafter referred to as ‘the participants in the Barcelona Process’,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REPUBLIC OF ALBANIA,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BOSNIA AND HERZEGOVINA,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REPUBLIC OF CROATIA,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FORMER YUGOSLAV REPUBLIC OF MACEDONIA,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MONTENEGRO,</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REPUBLIC OF SERBIA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AS WELL AS KOSOVO (UNDER RESOLUTION 1244(1999) OF THE UNITED NATIONS SECURITY COUNCIL),</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hereinafter referred to as ‘the participants in the European Union’s Stabilisation and Association Process’,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KINGDOM OF DENMARK IN RESPECT OF THE FAROE ISLANDS,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hereinafter referred to as ‘the Faroe Islands’,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hereinafter referred to together as the ‘Contracting Parties’,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CONSIDERING the pan-Euro-Mediterranean system of cumulation of origin, which is made up of a network of Free Trade Agreements and provides for identical rules of origin allowing for diagonal cumulation,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CONSIDERING the possible future extension of the geographical scope of diagonal cumulation to neighbouring countries and territories,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CONSIDERING the difficulties in the management of the current network of bilateral protocols on rules of origin among the countries or territories of the pan-Euro-Mediterranean zone, it is desirable to transpose the existing bilateral systems on rules of origin into a multilateral framework, without prejudice to the principles laid down in the relevant agreements or any other related bilateral agreements,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CONSIDERING that any amendment to a protocol on rules of origin applicable between two partner countries of the pan-Euro-Mediterranean zone implies identical amendments to each and every protocol applicable within the zone,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CONSIDERING that the rules of origin will need to be amended in order to better respond to the economic reality,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CONSIDERING the idea to base cumulation of origin on a single legal instrument in the form of a regional convention on preferential rules of origin, to which the individual free trade agreements applicable between the countries of the zone would refer,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CONSIDERING that the following regional Convention does not lead overall to a less favourable situation than in the previous relation between the free trade partners which apply the pan-euro or pan-euro-med cumulation,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lastRenderedPageBreak/>
        <w:t>CONSIDERING that the idea of a regional convention on preferential rules of origin for the pan-Euro-Mediterranean zone received the support of the Euro-Med Trade Ministers during their meeting in Lisbon on 21 October 2007,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CONSIDERING that a main objective of a single regional convention is to move towards the application of identical rules of origin for the purpose of cumulation of origin for goods traded between all Contracting Parties,</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HAVE DECIDED to conclude the following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PART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GENERAL PROVISIONS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This Convention lays down provisions on the origin of goods traded under the relevant Agreements concluded between the Contracting Parties.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2.   The concept of </w:t>
      </w:r>
      <w:r>
        <w:rPr>
          <w:rFonts w:ascii="Times New Roman" w:eastAsia="Times New Roman" w:hAnsi="Times New Roman" w:cs="Times New Roman"/>
          <w:noProof/>
          <w:color w:val="444444"/>
          <w:sz w:val="24"/>
          <w:szCs w:val="24"/>
          <w:lang w:eastAsia="x-none"/>
        </w:rPr>
        <w:t>‘originating products’ and the methods of administrative cooperation relating thereto are set out in the Appendixes to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Appendix I sets out general rules for the definition of the concept of originating products and the methods of administrative cooperation.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Appendix II sets out special provisions applicable between certain Contracting Parties and derogating from the provisions laid down in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The following are Contracting Parties to this Convention:</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11"/>
        <w:gridCol w:w="68"/>
        <w:gridCol w:w="166"/>
        <w:gridCol w:w="582"/>
        <w:gridCol w:w="7738"/>
      </w:tblGrid>
      <w:tr w:rsidR="00D74962">
        <w:tc>
          <w:tcPr>
            <w:tcW w:w="1272"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tc>
        <w:tc>
          <w:tcPr>
            <w:tcW w:w="773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European Union,</w:t>
            </w:r>
          </w:p>
        </w:tc>
      </w:tr>
      <w:tr w:rsidR="00D74962">
        <w:tc>
          <w:tcPr>
            <w:tcW w:w="690"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tc>
        <w:tc>
          <w:tcPr>
            <w:tcW w:w="832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EFTA States as listed in the Preamble,</w:t>
            </w:r>
          </w:p>
        </w:tc>
      </w:tr>
      <w:tr w:rsidR="00D74962">
        <w:tc>
          <w:tcPr>
            <w:tcW w:w="524"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tc>
        <w:tc>
          <w:tcPr>
            <w:tcW w:w="848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Kingdom of Denmark in respect of the Faroe Islands,</w:t>
            </w:r>
          </w:p>
        </w:tc>
      </w:tr>
      <w:tr w:rsidR="00D74962">
        <w:tc>
          <w:tcPr>
            <w:tcW w:w="45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tc>
        <w:tc>
          <w:tcPr>
            <w:tcW w:w="8554"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participants in the Barcelona Process as listed in the Preamble,</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tc>
        <w:tc>
          <w:tcPr>
            <w:tcW w:w="8665"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participants in the European Union’s Stabilisation and Association Process as listed in the Preamble.</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With respect to the European Union, this Convention shall apply to the territory in which the Treaty on European Union is applicable, as defined in Article 52 of that Treaty and Article 355 of the Treaty of the Functioning of the European Union.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purposes of this Convention:</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85"/>
        <w:gridCol w:w="227"/>
        <w:gridCol w:w="8398"/>
      </w:tblGrid>
      <w:tr w:rsidR="00D74962">
        <w:tc>
          <w:tcPr>
            <w:tcW w:w="61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w:t>
            </w:r>
          </w:p>
        </w:tc>
        <w:tc>
          <w:tcPr>
            <w:tcW w:w="839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‘Contracting Party’ means those listed in Article 1(3);</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w:t>
            </w:r>
          </w:p>
        </w:tc>
        <w:tc>
          <w:tcPr>
            <w:tcW w:w="86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‘third party’ means any neighbouring country or territory which is not a Contracting Party,</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w:t>
            </w:r>
          </w:p>
        </w:tc>
        <w:tc>
          <w:tcPr>
            <w:tcW w:w="86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‘relevant Agreement’ means a free trade agreement between two or more Contracting Parties, which refers to this Convention.</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PART II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THE JOINT COMMITTEE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A Joint Committee is hereby established in which each Contracting Party shall be represented.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The Joint Committee shall act by unanimity, without prejudice to Article 5(4).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   The Joint Committee shall meet whenever necessary, but at least once a year. Any Contracting Party may request that a meeting be held.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4.   The Joint Committee shall adopt its own rules of procedure, which shall, </w:t>
      </w:r>
      <w:r>
        <w:rPr>
          <w:rFonts w:ascii="Times New Roman" w:hAnsi="Times New Roman" w:cs="Times New Roman"/>
          <w:i/>
          <w:iCs/>
          <w:noProof/>
          <w:color w:val="444444"/>
          <w:sz w:val="24"/>
          <w:szCs w:val="24"/>
          <w:lang w:eastAsia="x-none"/>
        </w:rPr>
        <w:t>inter alia</w:t>
      </w:r>
      <w:r>
        <w:rPr>
          <w:rFonts w:ascii="Times New Roman" w:hAnsi="Times New Roman" w:cs="Times New Roman"/>
          <w:noProof/>
          <w:color w:val="444444"/>
          <w:sz w:val="24"/>
          <w:szCs w:val="24"/>
          <w:lang w:eastAsia="x-none"/>
        </w:rPr>
        <w:t>, contain provisions for convening meetings and for the designation of the chairperson and his term of office.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5.   The Joint Committee may decide to set up any sub-committee or working group that can assist it in carrying out its duties.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It shall be the responsibility of the Joint Committee to administer this Convention and ensure its proper implementation. For this purpose, it shall be regularly informed by the Contracting Parties about the experiences they have in the application of this Convention. The Joint Committee shall make recommendations, and in the cases provided for in paragraph 3, shall take decisions.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In particular the Joint Committee shall recommend to the Contracting Parties: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409"/>
        <w:gridCol w:w="283"/>
        <w:gridCol w:w="8318"/>
      </w:tblGrid>
      <w:tr w:rsidR="00D74962">
        <w:tc>
          <w:tcPr>
            <w:tcW w:w="40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01"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explanatory notes and guidelines for the uniform application of this Convention;</w:t>
            </w:r>
          </w:p>
        </w:tc>
      </w:tr>
      <w:tr w:rsidR="00D74962">
        <w:tc>
          <w:tcPr>
            <w:tcW w:w="69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31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any other measures required for its application.</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   The Joint Committee shall adopt by decision:</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84"/>
        <w:gridCol w:w="19"/>
        <w:gridCol w:w="36"/>
        <w:gridCol w:w="8571"/>
      </w:tblGrid>
      <w:tr w:rsidR="00D74962">
        <w:tc>
          <w:tcPr>
            <w:tcW w:w="439"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57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amendments to this Convention including amendments to the Appendixes;</w:t>
            </w:r>
          </w:p>
        </w:tc>
      </w:tr>
      <w:tr w:rsidR="00D74962">
        <w:tc>
          <w:tcPr>
            <w:tcW w:w="40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07"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invitations to third parties to accede to this Convention in accordance with Article 5;</w:t>
            </w:r>
          </w:p>
        </w:tc>
      </w:tr>
      <w:tr w:rsidR="00D74962">
        <w:tc>
          <w:tcPr>
            <w:tcW w:w="38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862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transitional measures required in the case of the accession of new Contracting Parties.</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Decisions referred to in this paragraph shall be put into effect by the Contracting Parties in accordance with their own legislation.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4.   If a representative of a Contracting Party in the Joint Committee has accepted a decision subject to the fulfilment of fundamental legal requirements, the decision shall enter into force, if no date is contained therein, on the first day of the second month after the lifting of the reservation is notified.</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PART III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ACCESSION OF THIRD PARTIES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A third party may become a Contracting Party to this Convention, provided that the candidate country or territory has a free trade agreement in force, providing for preferential rules of origin, with at least one of the Contracting Parties.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A third party shall submit a written request for accession to the depositary.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   The depositary shall submit the request to the Joint Committee for its consideration.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4.   The decision of the Joint Committee inviting a third party to accede to this Convention shall be sent to the depositary, which shall, within two months, forward it, together with a text of the Convention in force on that date, to the requesting third party. One single Contracting Party may not oppose that decision.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5.   A third party invited to become a Contracting Party to this Convention shall do so by depositing an instrument of accession with the depositary. The said instruments shall be accompanied by a translation of the Convention into the official language(s) of the acceding third party.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6.   The accession shall become effective on the first day of the second month following the depositing of the instrument of accession.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7.   The depositary shall notify all Contracting Parties of the date on which the instrument of accession was deposited and the date on which the accession will become effective.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8.   Recommendations and decisions of the Joint Committee referred to in Article 4(2) and (3) adopted between the date of submission of the request referred to in paragraph 2 of this Article and the date on which accession becomes effective shall also be communicated to the acceding third party via the depositary.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 declaration accepting such acts shall be inserted either in the instrument of accession or in a separate instrument deposited with the depositary within six months of the communication. If the declaration is not deposited within that period, the accession shall be considered void.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9.   From the date referred to in paragraph 4, the third party concerned may be represented with observer status in the Joint Committee and any sub-committee and working groups.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PART IV</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MISCELLANEOUS AND FINAL PROVISIONS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Each Contracting Party shall take appropriate measures to ensure that this Convention is effectively applied, taking account of the need to achieve mutually satisfactory solutions of any difficulties arising from its application.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Contracting Parties shall keep each other informed via the depositary of the measures which they adopt for the implementation of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Appendixes to this Convention shall form an integral part thereof.</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Any Contracting Party may withdraw from this Convention provided it gives 12 months</w:t>
      </w:r>
      <w:r>
        <w:rPr>
          <w:rFonts w:ascii="Times New Roman" w:eastAsia="Times New Roman" w:hAnsi="Times New Roman" w:cs="Times New Roman"/>
          <w:noProof/>
          <w:color w:val="444444"/>
          <w:sz w:val="24"/>
          <w:szCs w:val="24"/>
          <w:lang w:eastAsia="x-none"/>
        </w:rPr>
        <w:t>’ notice in writing to the depositary, which shall notify all other Contracting Parties.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This Convention shall enter into force on 1 January 2011, in relation to those Contracting Parties which, by then, have deposited their instrument of acceptance with the depositary, provided that at least two Contracting Parties have deposited their instruments of acceptance with the depositary by 31.12.2010.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If this Convention does not enter into force on 1 January 2011, it shall enter into force on the first day of the second month following the deposit of the last instrument of acceptance by at least two Contracting Parties.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   In relation to any other Contracting Party than those referred to in paragraphs 1 and 2, this Convention shall enter into force on the first day of the second month following the deposit of its instrument of acceptance.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4.   The depositary shall notify to the Contracting Parties the date of the deposit of the instrument of acceptance of each Contracting Party and the date of the entry into force of this Convention by publishing this information in the Official Journal of the European Union (C series).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General Secretariat of the Council of the European Union shall act as depositary of this Convention.</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lastRenderedPageBreak/>
        <w:t xml:space="preserve">The definition of the concept of </w:t>
      </w:r>
      <w:r>
        <w:rPr>
          <w:rFonts w:ascii="Times New Roman" w:eastAsia="Times New Roman" w:hAnsi="Times New Roman" w:cs="Times New Roman"/>
          <w:b/>
          <w:bCs/>
          <w:noProof/>
          <w:color w:val="444444"/>
          <w:sz w:val="24"/>
          <w:szCs w:val="24"/>
          <w:lang w:eastAsia="x-none"/>
        </w:rPr>
        <w:t>‘originating products’ and methods of administrative cooperation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TABLE OF CONTENTS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953"/>
        <w:gridCol w:w="76"/>
        <w:gridCol w:w="13"/>
        <w:gridCol w:w="18"/>
        <w:gridCol w:w="73"/>
        <w:gridCol w:w="68"/>
        <w:gridCol w:w="34"/>
        <w:gridCol w:w="23"/>
        <w:gridCol w:w="319"/>
        <w:gridCol w:w="279"/>
        <w:gridCol w:w="33"/>
        <w:gridCol w:w="75"/>
        <w:gridCol w:w="159"/>
        <w:gridCol w:w="8"/>
        <w:gridCol w:w="56"/>
        <w:gridCol w:w="34"/>
        <w:gridCol w:w="58"/>
        <w:gridCol w:w="19"/>
        <w:gridCol w:w="34"/>
        <w:gridCol w:w="63"/>
        <w:gridCol w:w="11"/>
        <w:gridCol w:w="13"/>
        <w:gridCol w:w="89"/>
        <w:gridCol w:w="53"/>
        <w:gridCol w:w="11"/>
        <w:gridCol w:w="68"/>
        <w:gridCol w:w="32"/>
        <w:gridCol w:w="48"/>
        <w:gridCol w:w="16"/>
        <w:gridCol w:w="51"/>
        <w:gridCol w:w="260"/>
        <w:gridCol w:w="67"/>
        <w:gridCol w:w="172"/>
        <w:gridCol w:w="77"/>
        <w:gridCol w:w="718"/>
        <w:gridCol w:w="158"/>
        <w:gridCol w:w="339"/>
        <w:gridCol w:w="1225"/>
        <w:gridCol w:w="3211"/>
      </w:tblGrid>
      <w:tr w:rsidR="00D74962">
        <w:tc>
          <w:tcPr>
            <w:tcW w:w="2187" w:type="dxa"/>
            <w:gridSpan w:val="1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TITLE I</w:t>
            </w:r>
          </w:p>
        </w:tc>
        <w:tc>
          <w:tcPr>
            <w:tcW w:w="6827" w:type="dxa"/>
            <w:gridSpan w:val="2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GENERAL PROVISIONS</w:t>
            </w:r>
          </w:p>
        </w:tc>
      </w:tr>
      <w:tr w:rsidR="00D74962">
        <w:tc>
          <w:tcPr>
            <w:tcW w:w="2332" w:type="dxa"/>
            <w:gridSpan w:val="1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1</w:t>
            </w:r>
          </w:p>
        </w:tc>
        <w:tc>
          <w:tcPr>
            <w:tcW w:w="6682" w:type="dxa"/>
            <w:gridSpan w:val="2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Definitions</w:t>
            </w:r>
          </w:p>
        </w:tc>
      </w:tr>
      <w:tr w:rsidR="00D74962">
        <w:tc>
          <w:tcPr>
            <w:tcW w:w="1060"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TITLE II</w:t>
            </w:r>
          </w:p>
        </w:tc>
        <w:tc>
          <w:tcPr>
            <w:tcW w:w="7954" w:type="dxa"/>
            <w:gridSpan w:val="3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 xml:space="preserve">DEFINITION OF THE CONCEPT OF </w:t>
            </w:r>
            <w:r>
              <w:rPr>
                <w:rFonts w:ascii="Times New Roman" w:eastAsia="Times New Roman" w:hAnsi="Times New Roman" w:cs="Times New Roman"/>
                <w:b/>
                <w:bCs/>
                <w:noProof/>
                <w:color w:val="444444"/>
                <w:sz w:val="24"/>
                <w:szCs w:val="24"/>
                <w:lang w:eastAsia="x-none"/>
              </w:rPr>
              <w:t>‘ORIGINATING PRODUCTS’</w:t>
            </w:r>
          </w:p>
        </w:tc>
      </w:tr>
      <w:tr w:rsidR="00D74962">
        <w:tc>
          <w:tcPr>
            <w:tcW w:w="2561" w:type="dxa"/>
            <w:gridSpan w:val="2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2</w:t>
            </w:r>
          </w:p>
        </w:tc>
        <w:tc>
          <w:tcPr>
            <w:tcW w:w="6453" w:type="dxa"/>
            <w:gridSpan w:val="1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General requirements</w:t>
            </w:r>
          </w:p>
        </w:tc>
      </w:tr>
      <w:tr w:rsidR="00D74962">
        <w:tc>
          <w:tcPr>
            <w:tcW w:w="2640" w:type="dxa"/>
            <w:gridSpan w:val="2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3</w:t>
            </w:r>
          </w:p>
        </w:tc>
        <w:tc>
          <w:tcPr>
            <w:tcW w:w="6374" w:type="dxa"/>
            <w:gridSpan w:val="1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Cumulation of origin</w:t>
            </w:r>
          </w:p>
        </w:tc>
      </w:tr>
      <w:tr w:rsidR="00D74962">
        <w:tc>
          <w:tcPr>
            <w:tcW w:w="2279" w:type="dxa"/>
            <w:gridSpan w:val="1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4</w:t>
            </w:r>
          </w:p>
        </w:tc>
        <w:tc>
          <w:tcPr>
            <w:tcW w:w="6735" w:type="dxa"/>
            <w:gridSpan w:val="2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Wholly obtained products</w:t>
            </w:r>
          </w:p>
        </w:tc>
      </w:tr>
      <w:tr w:rsidR="00D74962">
        <w:tc>
          <w:tcPr>
            <w:tcW w:w="1577"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5</w:t>
            </w:r>
          </w:p>
        </w:tc>
        <w:tc>
          <w:tcPr>
            <w:tcW w:w="7437" w:type="dxa"/>
            <w:gridSpan w:val="3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Sufficiently worked or processed products</w:t>
            </w:r>
          </w:p>
        </w:tc>
      </w:tr>
      <w:tr w:rsidR="00D74962">
        <w:tc>
          <w:tcPr>
            <w:tcW w:w="1856"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6</w:t>
            </w:r>
          </w:p>
        </w:tc>
        <w:tc>
          <w:tcPr>
            <w:tcW w:w="7158" w:type="dxa"/>
            <w:gridSpan w:val="2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Insufficient working or processing</w:t>
            </w:r>
          </w:p>
        </w:tc>
      </w:tr>
      <w:tr w:rsidR="00D74962">
        <w:tc>
          <w:tcPr>
            <w:tcW w:w="2720" w:type="dxa"/>
            <w:gridSpan w:val="2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7</w:t>
            </w:r>
          </w:p>
        </w:tc>
        <w:tc>
          <w:tcPr>
            <w:tcW w:w="6294" w:type="dxa"/>
            <w:gridSpan w:val="1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Unit of qualification</w:t>
            </w:r>
          </w:p>
        </w:tc>
      </w:tr>
      <w:tr w:rsidR="00D74962">
        <w:tc>
          <w:tcPr>
            <w:tcW w:w="1889" w:type="dxa"/>
            <w:gridSpan w:val="1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8</w:t>
            </w:r>
          </w:p>
        </w:tc>
        <w:tc>
          <w:tcPr>
            <w:tcW w:w="7125" w:type="dxa"/>
            <w:gridSpan w:val="2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Accessories, spare parts and tools</w:t>
            </w:r>
          </w:p>
        </w:tc>
      </w:tr>
      <w:tr w:rsidR="00D74962">
        <w:tc>
          <w:tcPr>
            <w:tcW w:w="5803" w:type="dxa"/>
            <w:gridSpan w:val="3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9</w:t>
            </w:r>
          </w:p>
        </w:tc>
        <w:tc>
          <w:tcPr>
            <w:tcW w:w="32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Sets</w:t>
            </w:r>
          </w:p>
        </w:tc>
      </w:tr>
      <w:tr w:rsidR="00D74962">
        <w:tc>
          <w:tcPr>
            <w:tcW w:w="3286" w:type="dxa"/>
            <w:gridSpan w:val="3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10</w:t>
            </w:r>
          </w:p>
        </w:tc>
        <w:tc>
          <w:tcPr>
            <w:tcW w:w="5728"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Neutral elements</w:t>
            </w:r>
          </w:p>
        </w:tc>
      </w:tr>
      <w:tr w:rsidR="00D74962">
        <w:tc>
          <w:tcPr>
            <w:tcW w:w="1964" w:type="dxa"/>
            <w:gridSpan w:val="1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TITLE III</w:t>
            </w:r>
          </w:p>
        </w:tc>
        <w:tc>
          <w:tcPr>
            <w:tcW w:w="7050" w:type="dxa"/>
            <w:gridSpan w:val="2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TERRITORIAL REQUIREMENTS</w:t>
            </w:r>
          </w:p>
        </w:tc>
      </w:tr>
      <w:tr w:rsidR="00D74962">
        <w:tc>
          <w:tcPr>
            <w:tcW w:w="2572" w:type="dxa"/>
            <w:gridSpan w:val="2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11</w:t>
            </w:r>
          </w:p>
        </w:tc>
        <w:tc>
          <w:tcPr>
            <w:tcW w:w="6442" w:type="dxa"/>
            <w:gridSpan w:val="1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Principle of territoriality</w:t>
            </w:r>
          </w:p>
        </w:tc>
      </w:tr>
      <w:tr w:rsidR="00D74962">
        <w:tc>
          <w:tcPr>
            <w:tcW w:w="3363" w:type="dxa"/>
            <w:gridSpan w:val="3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12</w:t>
            </w:r>
          </w:p>
        </w:tc>
        <w:tc>
          <w:tcPr>
            <w:tcW w:w="5651"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Direct transport</w:t>
            </w:r>
          </w:p>
        </w:tc>
      </w:tr>
      <w:tr w:rsidR="00D74962">
        <w:tc>
          <w:tcPr>
            <w:tcW w:w="4081" w:type="dxa"/>
            <w:gridSpan w:val="3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13</w:t>
            </w:r>
          </w:p>
        </w:tc>
        <w:tc>
          <w:tcPr>
            <w:tcW w:w="4933"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Exhibitions</w:t>
            </w:r>
          </w:p>
        </w:tc>
      </w:tr>
      <w:tr w:rsidR="00D74962">
        <w:tc>
          <w:tcPr>
            <w:tcW w:w="2123" w:type="dxa"/>
            <w:gridSpan w:val="1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TITLE IV</w:t>
            </w:r>
          </w:p>
        </w:tc>
        <w:tc>
          <w:tcPr>
            <w:tcW w:w="6891" w:type="dxa"/>
            <w:gridSpan w:val="2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DRAWBACK OR EXEMPTION</w:t>
            </w:r>
          </w:p>
        </w:tc>
      </w:tr>
      <w:tr w:rsidR="00D74962">
        <w:tc>
          <w:tcPr>
            <w:tcW w:w="1258"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14</w:t>
            </w:r>
          </w:p>
        </w:tc>
        <w:tc>
          <w:tcPr>
            <w:tcW w:w="7756" w:type="dxa"/>
            <w:gridSpan w:val="3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Prohibition of drawback of, or exemption from, customs duties</w:t>
            </w:r>
          </w:p>
        </w:tc>
      </w:tr>
      <w:tr w:rsidR="00D74962">
        <w:tc>
          <w:tcPr>
            <w:tcW w:w="2736" w:type="dxa"/>
            <w:gridSpan w:val="2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TITLE V</w:t>
            </w:r>
          </w:p>
        </w:tc>
        <w:tc>
          <w:tcPr>
            <w:tcW w:w="6278"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PROOF OF ORIGIN</w:t>
            </w:r>
          </w:p>
        </w:tc>
      </w:tr>
      <w:tr w:rsidR="00D74962">
        <w:tc>
          <w:tcPr>
            <w:tcW w:w="2787" w:type="dxa"/>
            <w:gridSpan w:val="3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15</w:t>
            </w:r>
          </w:p>
        </w:tc>
        <w:tc>
          <w:tcPr>
            <w:tcW w:w="6227"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General requirements</w:t>
            </w:r>
          </w:p>
        </w:tc>
      </w:tr>
      <w:tr w:rsidR="00D74962">
        <w:tc>
          <w:tcPr>
            <w:tcW w:w="113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16</w:t>
            </w:r>
          </w:p>
        </w:tc>
        <w:tc>
          <w:tcPr>
            <w:tcW w:w="7881" w:type="dxa"/>
            <w:gridSpan w:val="3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Procedure for the issue of a movement certificate EUR.1 or EUR-MED</w:t>
            </w:r>
          </w:p>
        </w:tc>
      </w:tr>
      <w:tr w:rsidR="00D74962">
        <w:tc>
          <w:tcPr>
            <w:tcW w:w="1201"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17</w:t>
            </w:r>
          </w:p>
        </w:tc>
        <w:tc>
          <w:tcPr>
            <w:tcW w:w="7813" w:type="dxa"/>
            <w:gridSpan w:val="3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Movement certificates EUR.1 or EUR-MED issued retrospectively</w:t>
            </w:r>
          </w:p>
        </w:tc>
      </w:tr>
      <w:tr w:rsidR="00D74962">
        <w:tc>
          <w:tcPr>
            <w:tcW w:w="1258"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18</w:t>
            </w:r>
          </w:p>
        </w:tc>
        <w:tc>
          <w:tcPr>
            <w:tcW w:w="7756" w:type="dxa"/>
            <w:gridSpan w:val="3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Issue of a duplicate movement certificate EUR.1 or EUR-MED</w:t>
            </w:r>
          </w:p>
        </w:tc>
      </w:tr>
      <w:tr w:rsidR="00D74962">
        <w:tc>
          <w:tcPr>
            <w:tcW w:w="95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19</w:t>
            </w:r>
          </w:p>
        </w:tc>
        <w:tc>
          <w:tcPr>
            <w:tcW w:w="8061" w:type="dxa"/>
            <w:gridSpan w:val="3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Issue of movement certificates EUR.1 or EUR-MED on the basis of a proof of origin issued or made out previously</w:t>
            </w:r>
          </w:p>
        </w:tc>
      </w:tr>
      <w:tr w:rsidR="00D74962">
        <w:tc>
          <w:tcPr>
            <w:tcW w:w="2672" w:type="dxa"/>
            <w:gridSpan w:val="2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20</w:t>
            </w:r>
          </w:p>
        </w:tc>
        <w:tc>
          <w:tcPr>
            <w:tcW w:w="6342" w:type="dxa"/>
            <w:gridSpan w:val="1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Accounting segregation</w:t>
            </w:r>
          </w:p>
        </w:tc>
      </w:tr>
      <w:tr w:rsidR="00D74962">
        <w:tc>
          <w:tcPr>
            <w:tcW w:w="102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21</w:t>
            </w:r>
          </w:p>
        </w:tc>
        <w:tc>
          <w:tcPr>
            <w:tcW w:w="7985" w:type="dxa"/>
            <w:gridSpan w:val="3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Conditions for making out an origin declaration or an origin declaration EUR-MED</w:t>
            </w:r>
          </w:p>
        </w:tc>
      </w:tr>
      <w:tr w:rsidR="00D74962">
        <w:tc>
          <w:tcPr>
            <w:tcW w:w="3047" w:type="dxa"/>
            <w:gridSpan w:val="3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22</w:t>
            </w:r>
          </w:p>
        </w:tc>
        <w:tc>
          <w:tcPr>
            <w:tcW w:w="596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Approved exporter</w:t>
            </w:r>
          </w:p>
        </w:tc>
      </w:tr>
      <w:tr w:rsidR="00D74962">
        <w:tc>
          <w:tcPr>
            <w:tcW w:w="2508" w:type="dxa"/>
            <w:gridSpan w:val="2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23</w:t>
            </w:r>
          </w:p>
        </w:tc>
        <w:tc>
          <w:tcPr>
            <w:tcW w:w="6506" w:type="dxa"/>
            <w:gridSpan w:val="1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Validity of proof of origin</w:t>
            </w:r>
          </w:p>
        </w:tc>
      </w:tr>
      <w:tr w:rsidR="00D74962">
        <w:tc>
          <w:tcPr>
            <w:tcW w:w="2298" w:type="dxa"/>
            <w:gridSpan w:val="1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24</w:t>
            </w:r>
          </w:p>
        </w:tc>
        <w:tc>
          <w:tcPr>
            <w:tcW w:w="6716" w:type="dxa"/>
            <w:gridSpan w:val="2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Submission of proof of origin</w:t>
            </w:r>
          </w:p>
        </w:tc>
      </w:tr>
      <w:tr w:rsidR="00D74962">
        <w:tc>
          <w:tcPr>
            <w:tcW w:w="2406" w:type="dxa"/>
            <w:gridSpan w:val="2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25</w:t>
            </w:r>
          </w:p>
        </w:tc>
        <w:tc>
          <w:tcPr>
            <w:tcW w:w="6608" w:type="dxa"/>
            <w:gridSpan w:val="1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Importation by instalments</w:t>
            </w:r>
          </w:p>
        </w:tc>
      </w:tr>
      <w:tr w:rsidR="00D74962">
        <w:tc>
          <w:tcPr>
            <w:tcW w:w="2123" w:type="dxa"/>
            <w:gridSpan w:val="1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26</w:t>
            </w:r>
          </w:p>
        </w:tc>
        <w:tc>
          <w:tcPr>
            <w:tcW w:w="6891" w:type="dxa"/>
            <w:gridSpan w:val="2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Exemptions from proof of origin</w:t>
            </w:r>
          </w:p>
        </w:tc>
      </w:tr>
      <w:tr w:rsidR="00D74962">
        <w:tc>
          <w:tcPr>
            <w:tcW w:w="2736" w:type="dxa"/>
            <w:gridSpan w:val="2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lastRenderedPageBreak/>
              <w:t>Article 27</w:t>
            </w:r>
          </w:p>
        </w:tc>
        <w:tc>
          <w:tcPr>
            <w:tcW w:w="6278"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Supporting documents</w:t>
            </w:r>
          </w:p>
        </w:tc>
      </w:tr>
      <w:tr w:rsidR="00D74962">
        <w:tc>
          <w:tcPr>
            <w:tcW w:w="104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28</w:t>
            </w:r>
          </w:p>
        </w:tc>
        <w:tc>
          <w:tcPr>
            <w:tcW w:w="7972" w:type="dxa"/>
            <w:gridSpan w:val="3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Preservation of proof of origin, supplier</w:t>
            </w:r>
            <w:r>
              <w:rPr>
                <w:rFonts w:ascii="Times New Roman" w:eastAsia="Times New Roman" w:hAnsi="Times New Roman" w:cs="Times New Roman"/>
                <w:b/>
                <w:bCs/>
                <w:noProof/>
                <w:color w:val="444444"/>
                <w:sz w:val="24"/>
                <w:szCs w:val="24"/>
                <w:lang w:eastAsia="x-none"/>
              </w:rPr>
              <w:t>’s declaration and supporting documents</w:t>
            </w:r>
          </w:p>
        </w:tc>
      </w:tr>
      <w:tr w:rsidR="00D74962">
        <w:tc>
          <w:tcPr>
            <w:tcW w:w="2131" w:type="dxa"/>
            <w:gridSpan w:val="1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29</w:t>
            </w:r>
          </w:p>
        </w:tc>
        <w:tc>
          <w:tcPr>
            <w:tcW w:w="6883" w:type="dxa"/>
            <w:gridSpan w:val="2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Discrepancies and formal errors</w:t>
            </w:r>
          </w:p>
        </w:tc>
      </w:tr>
      <w:tr w:rsidR="00D74962">
        <w:tc>
          <w:tcPr>
            <w:tcW w:w="2419" w:type="dxa"/>
            <w:gridSpan w:val="2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30</w:t>
            </w:r>
          </w:p>
        </w:tc>
        <w:tc>
          <w:tcPr>
            <w:tcW w:w="6595" w:type="dxa"/>
            <w:gridSpan w:val="1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Amounts expressed in euro</w:t>
            </w:r>
          </w:p>
        </w:tc>
      </w:tr>
      <w:tr w:rsidR="00D74962">
        <w:tc>
          <w:tcPr>
            <w:tcW w:w="123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TITLE VI</w:t>
            </w:r>
          </w:p>
        </w:tc>
        <w:tc>
          <w:tcPr>
            <w:tcW w:w="7779" w:type="dxa"/>
            <w:gridSpan w:val="3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ARRANGEMENTS FOR ADMINISTRATIVE COOPERATION</w:t>
            </w:r>
          </w:p>
        </w:tc>
      </w:tr>
      <w:tr w:rsidR="00D74962">
        <w:tc>
          <w:tcPr>
            <w:tcW w:w="2395" w:type="dxa"/>
            <w:gridSpan w:val="2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31</w:t>
            </w:r>
          </w:p>
        </w:tc>
        <w:tc>
          <w:tcPr>
            <w:tcW w:w="6619" w:type="dxa"/>
            <w:gridSpan w:val="1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Administrative cooperation</w:t>
            </w:r>
          </w:p>
        </w:tc>
      </w:tr>
      <w:tr w:rsidR="00D74962">
        <w:tc>
          <w:tcPr>
            <w:tcW w:w="2221" w:type="dxa"/>
            <w:gridSpan w:val="1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32</w:t>
            </w:r>
          </w:p>
        </w:tc>
        <w:tc>
          <w:tcPr>
            <w:tcW w:w="6793" w:type="dxa"/>
            <w:gridSpan w:val="2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Verification of proofs of origin</w:t>
            </w:r>
          </w:p>
        </w:tc>
      </w:tr>
      <w:tr w:rsidR="00D74962">
        <w:tc>
          <w:tcPr>
            <w:tcW w:w="3114" w:type="dxa"/>
            <w:gridSpan w:val="3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33</w:t>
            </w:r>
          </w:p>
        </w:tc>
        <w:tc>
          <w:tcPr>
            <w:tcW w:w="5900"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Dispute settlement</w:t>
            </w:r>
          </w:p>
        </w:tc>
      </w:tr>
      <w:tr w:rsidR="00D74962">
        <w:tc>
          <w:tcPr>
            <w:tcW w:w="4578" w:type="dxa"/>
            <w:gridSpan w:val="3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34</w:t>
            </w:r>
          </w:p>
        </w:tc>
        <w:tc>
          <w:tcPr>
            <w:tcW w:w="443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Penalties</w:t>
            </w:r>
          </w:p>
        </w:tc>
      </w:tr>
      <w:tr w:rsidR="00D74962">
        <w:tc>
          <w:tcPr>
            <w:tcW w:w="4239" w:type="dxa"/>
            <w:gridSpan w:val="3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35</w:t>
            </w:r>
          </w:p>
        </w:tc>
        <w:tc>
          <w:tcPr>
            <w:tcW w:w="477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Free zones</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List of Annexes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002"/>
        <w:gridCol w:w="25"/>
        <w:gridCol w:w="232"/>
        <w:gridCol w:w="41"/>
        <w:gridCol w:w="525"/>
        <w:gridCol w:w="398"/>
        <w:gridCol w:w="593"/>
        <w:gridCol w:w="6194"/>
      </w:tblGrid>
      <w:tr w:rsidR="00D74962">
        <w:tc>
          <w:tcPr>
            <w:tcW w:w="1825"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I:</w:t>
            </w:r>
          </w:p>
        </w:tc>
        <w:tc>
          <w:tcPr>
            <w:tcW w:w="718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Introductory notes to the list in Annex II</w:t>
            </w:r>
          </w:p>
        </w:tc>
      </w:tr>
      <w:tr w:rsidR="00D74962">
        <w:tc>
          <w:tcPr>
            <w:tcW w:w="100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II:</w:t>
            </w:r>
          </w:p>
        </w:tc>
        <w:tc>
          <w:tcPr>
            <w:tcW w:w="8008"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List of working or processing required to be carried out on non-originating materials in order for the product manufactured to obtain originating status</w:t>
            </w:r>
          </w:p>
        </w:tc>
      </w:tr>
      <w:tr w:rsidR="00D74962">
        <w:tc>
          <w:tcPr>
            <w:tcW w:w="1300"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III a:</w:t>
            </w:r>
          </w:p>
        </w:tc>
        <w:tc>
          <w:tcPr>
            <w:tcW w:w="7710"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Specimens of movement certificate EUR.1 and application for a movement certificate EUR.1</w:t>
            </w:r>
          </w:p>
        </w:tc>
      </w:tr>
      <w:tr w:rsidR="00D74962">
        <w:tc>
          <w:tcPr>
            <w:tcW w:w="1259"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III b:</w:t>
            </w:r>
          </w:p>
        </w:tc>
        <w:tc>
          <w:tcPr>
            <w:tcW w:w="7751"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Specimens of movement certificate EUR-MED and application for a movement certificate EUR-MED</w:t>
            </w:r>
          </w:p>
        </w:tc>
      </w:tr>
      <w:tr w:rsidR="00D74962">
        <w:tc>
          <w:tcPr>
            <w:tcW w:w="2816"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IV a:</w:t>
            </w:r>
          </w:p>
        </w:tc>
        <w:tc>
          <w:tcPr>
            <w:tcW w:w="619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Text of the origin declaration</w:t>
            </w:r>
          </w:p>
        </w:tc>
      </w:tr>
      <w:tr w:rsidR="00D74962">
        <w:tc>
          <w:tcPr>
            <w:tcW w:w="2223"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IV b:</w:t>
            </w:r>
          </w:p>
        </w:tc>
        <w:tc>
          <w:tcPr>
            <w:tcW w:w="6787"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Text of the origin declaration EUR-MED</w:t>
            </w:r>
          </w:p>
        </w:tc>
      </w:tr>
      <w:tr w:rsidR="00D74962">
        <w:tc>
          <w:tcPr>
            <w:tcW w:w="1027"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V:</w:t>
            </w:r>
          </w:p>
        </w:tc>
        <w:tc>
          <w:tcPr>
            <w:tcW w:w="7983"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List of Contracting Parties which do not apply provisions on partial drawback as provided for in Article 14(7) of this Appendix</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TITLE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GENERAL PROVISIONS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Definitions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purposes of this Convention:</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13"/>
        <w:gridCol w:w="27"/>
        <w:gridCol w:w="13"/>
        <w:gridCol w:w="356"/>
        <w:gridCol w:w="222"/>
        <w:gridCol w:w="8047"/>
      </w:tblGrid>
      <w:tr w:rsidR="00D74962">
        <w:tc>
          <w:tcPr>
            <w:tcW w:w="37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‘manufacture’ means any kind of working or processing including assembly or specific operations;</w:t>
            </w:r>
          </w:p>
        </w:tc>
      </w:tr>
      <w:tr w:rsidR="00D74962">
        <w:tc>
          <w:tcPr>
            <w:tcW w:w="385"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(b)</w:t>
            </w:r>
          </w:p>
        </w:tc>
        <w:tc>
          <w:tcPr>
            <w:tcW w:w="862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‘material’ means any ingredient, raw material, component or part, </w:t>
            </w:r>
            <w:r>
              <w:rPr>
                <w:rFonts w:ascii="Times New Roman" w:hAnsi="Times New Roman" w:cs="Times New Roman"/>
                <w:i/>
                <w:iCs/>
                <w:noProof/>
                <w:color w:val="444444"/>
                <w:sz w:val="24"/>
                <w:szCs w:val="24"/>
                <w:lang w:eastAsia="x-none"/>
              </w:rPr>
              <w:t>etc.</w:t>
            </w:r>
            <w:r>
              <w:rPr>
                <w:rFonts w:ascii="Times New Roman" w:hAnsi="Times New Roman" w:cs="Times New Roman"/>
                <w:noProof/>
                <w:color w:val="444444"/>
                <w:sz w:val="24"/>
                <w:szCs w:val="24"/>
                <w:lang w:eastAsia="x-none"/>
              </w:rPr>
              <w:t>, used in the manufacture of a product;</w:t>
            </w:r>
          </w:p>
        </w:tc>
      </w:tr>
      <w:tr w:rsidR="00D74962">
        <w:tc>
          <w:tcPr>
            <w:tcW w:w="37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863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‘product’ means a product being manufactured, even if it is intended for later use in another manufacturing operation;</w:t>
            </w:r>
          </w:p>
        </w:tc>
      </w:tr>
      <w:tr w:rsidR="00D74962">
        <w:tc>
          <w:tcPr>
            <w:tcW w:w="741"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(d)</w:t>
            </w:r>
          </w:p>
        </w:tc>
        <w:tc>
          <w:tcPr>
            <w:tcW w:w="82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‘goods’ means both materials and products;</w:t>
            </w:r>
          </w:p>
        </w:tc>
      </w:tr>
      <w:tr w:rsidR="00D74962">
        <w:tc>
          <w:tcPr>
            <w:tcW w:w="37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lastRenderedPageBreak/>
              <w:t>(e)</w:t>
            </w:r>
          </w:p>
        </w:tc>
        <w:tc>
          <w:tcPr>
            <w:tcW w:w="863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‘customs value’ means the value as determined in accordance with the Agreement on implementation of Article VII of the General Agreement on Tariffs and Trade 1994;</w:t>
            </w:r>
          </w:p>
        </w:tc>
      </w:tr>
      <w:tr w:rsidR="00D74962">
        <w:tc>
          <w:tcPr>
            <w:tcW w:w="34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(f)</w:t>
            </w:r>
          </w:p>
        </w:tc>
        <w:tc>
          <w:tcPr>
            <w:tcW w:w="8665"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‘ex-works price’ means the price paid for the product ex works to the manufacturer in the Contracting Party in whose undertaking the last working or processing is carried out, provided the price includes the value of all the materials used, minus any internal taxes which are, or may be, repaid when the product obtained is exported;</w:t>
            </w:r>
          </w:p>
        </w:tc>
      </w:tr>
      <w:tr w:rsidR="00D74962">
        <w:tc>
          <w:tcPr>
            <w:tcW w:w="385"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(g)</w:t>
            </w:r>
          </w:p>
        </w:tc>
        <w:tc>
          <w:tcPr>
            <w:tcW w:w="862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‘value of materials’ means the customs value at the time of importation of the non-originating materials used, or, if this is not known and cannot be ascertained, the first ascertainable price paid for the materials in the exporting Contracting Party;</w:t>
            </w:r>
          </w:p>
        </w:tc>
      </w:tr>
      <w:tr w:rsidR="00D74962">
        <w:tc>
          <w:tcPr>
            <w:tcW w:w="385"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(h)</w:t>
            </w:r>
          </w:p>
        </w:tc>
        <w:tc>
          <w:tcPr>
            <w:tcW w:w="862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‘value of originating materials’ means the value of such materials as defined in (g) applied </w:t>
            </w:r>
            <w:r>
              <w:rPr>
                <w:rFonts w:ascii="Times New Roman" w:hAnsi="Times New Roman" w:cs="Times New Roman"/>
                <w:i/>
                <w:iCs/>
                <w:noProof/>
                <w:color w:val="444444"/>
                <w:sz w:val="24"/>
                <w:szCs w:val="24"/>
                <w:lang w:eastAsia="x-none"/>
              </w:rPr>
              <w:t>mutatis mutandis</w:t>
            </w:r>
            <w:r>
              <w:rPr>
                <w:rFonts w:ascii="Times New Roman" w:hAnsi="Times New Roman" w:cs="Times New Roman"/>
                <w:noProof/>
                <w:color w:val="444444"/>
                <w:sz w:val="24"/>
                <w:szCs w:val="24"/>
                <w:lang w:eastAsia="x-none"/>
              </w:rPr>
              <w:t>;</w:t>
            </w:r>
          </w:p>
        </w:tc>
      </w:tr>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w:t>
            </w:r>
          </w:p>
        </w:tc>
        <w:tc>
          <w:tcPr>
            <w:tcW w:w="8678"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‘value added’ means the ex-works price minus the customs value of each of the materials incorporated which originate in the other Contracting Parties with which cumulation is applicable or, where the customs value is not known or cannot be ascertained, the first ascertainable price paid for the materials in the exporting Contracting Party;</w:t>
            </w:r>
          </w:p>
        </w:tc>
      </w:tr>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(j)</w:t>
            </w:r>
          </w:p>
        </w:tc>
        <w:tc>
          <w:tcPr>
            <w:tcW w:w="8678"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‘chapters’ and ‘headings’ mean the chapters and the headings (four-digit codes) used in the nomenclature which makes up the Harmonised Commodity Description and Coding System, referred to in this Convention as ‘the Harmonised System’ or ‘HS’;</w:t>
            </w:r>
          </w:p>
        </w:tc>
      </w:tr>
      <w:tr w:rsidR="00D74962">
        <w:tc>
          <w:tcPr>
            <w:tcW w:w="385"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(k)</w:t>
            </w:r>
          </w:p>
        </w:tc>
        <w:tc>
          <w:tcPr>
            <w:tcW w:w="862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‘classified’ refers to the classification of a product or material under a particular heading;</w:t>
            </w:r>
          </w:p>
        </w:tc>
      </w:tr>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(l)</w:t>
            </w:r>
          </w:p>
        </w:tc>
        <w:tc>
          <w:tcPr>
            <w:tcW w:w="8678"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‘consignment’ means products which are either sent simultaneously from one exporter to one consignee or covered by a single transport document covering their shipment from the exporter to the consignee or, in the absence of such a document, by a single invoice;</w:t>
            </w:r>
          </w:p>
        </w:tc>
      </w:tr>
      <w:tr w:rsidR="00D74962">
        <w:tc>
          <w:tcPr>
            <w:tcW w:w="963"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(m)</w:t>
            </w:r>
          </w:p>
        </w:tc>
        <w:tc>
          <w:tcPr>
            <w:tcW w:w="804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‘territories’ includes territorial waters;</w:t>
            </w:r>
          </w:p>
        </w:tc>
      </w:tr>
      <w:tr w:rsidR="00D74962">
        <w:tc>
          <w:tcPr>
            <w:tcW w:w="385"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(n)</w:t>
            </w:r>
          </w:p>
        </w:tc>
        <w:tc>
          <w:tcPr>
            <w:tcW w:w="862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‘customs authorities of the Contracting Party’ for the European Union means any of the customs authorities of the Member States of the European Union.</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TITLE II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 xml:space="preserve">DEFINITION OF THE CONCEPT OF </w:t>
      </w:r>
      <w:r>
        <w:rPr>
          <w:rFonts w:ascii="Times New Roman" w:eastAsia="Times New Roman" w:hAnsi="Times New Roman" w:cs="Times New Roman"/>
          <w:b/>
          <w:bCs/>
          <w:noProof/>
          <w:color w:val="444444"/>
          <w:sz w:val="24"/>
          <w:szCs w:val="24"/>
          <w:lang w:eastAsia="x-none"/>
        </w:rPr>
        <w:t>‘ORIGINATING PRODUCTS’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General requirements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For the purpose of implementing the relevant Agreement, the following products shall be considered as originating in a Contracting Party when exported to another Contracting Party:</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10"/>
        <w:gridCol w:w="8615"/>
      </w:tblGrid>
      <w:tr w:rsidR="00D74962">
        <w:tc>
          <w:tcPr>
            <w:tcW w:w="39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wholly obtained in the Contracting Party, within the meaning of Article 4;</w:t>
            </w: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obtained in the Contracting Party incorporating materials which have not been wholly obtained there, provided that such materials have undergone sufficient working or processing in that Contracting Party within the meaning of Article 5;</w:t>
            </w:r>
          </w:p>
        </w:tc>
      </w:tr>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863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goods originating in the European Economic Area (EEA) within the meaning of Protocol 4 to the Agreement on the European Economic Area. Such goods shall be considered as originating in the European Union, Iceland, Liechtenstein</w:t>
            </w:r>
            <w:hyperlink r:id="rId8" w:anchor="ntr1-L_2013054EN.01000801-E0001"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1</w:t>
              </w:r>
              <w:r>
                <w:rPr>
                  <w:rFonts w:ascii="Times New Roman" w:hAnsi="Times New Roman" w:cs="Times New Roman"/>
                  <w:noProof/>
                  <w:color w:val="800080"/>
                  <w:sz w:val="24"/>
                  <w:szCs w:val="24"/>
                  <w:lang w:eastAsia="x-none"/>
                </w:rPr>
                <w:t>)</w:t>
              </w:r>
            </w:hyperlink>
            <w:r>
              <w:rPr>
                <w:rFonts w:ascii="Times New Roman" w:hAnsi="Times New Roman" w:cs="Times New Roman"/>
                <w:noProof/>
                <w:color w:val="444444"/>
                <w:sz w:val="24"/>
                <w:szCs w:val="24"/>
                <w:lang w:eastAsia="x-none"/>
              </w:rPr>
              <w:t> or Norway (</w:t>
            </w:r>
            <w:r>
              <w:rPr>
                <w:rFonts w:ascii="Times New Roman" w:eastAsia="Times New Roman" w:hAnsi="Times New Roman" w:cs="Times New Roman"/>
                <w:noProof/>
                <w:color w:val="444444"/>
                <w:sz w:val="24"/>
                <w:szCs w:val="24"/>
                <w:lang w:eastAsia="x-none"/>
              </w:rPr>
              <w:t>‘EEA Parties’) when exported respectively from the European Union, Iceland, Liechtenstein or Norway to a Contracting Party other than the EEA Parties.</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lastRenderedPageBreak/>
        <w:t>2.   The provisions of paragraph 1(c) shall apply only provided that free trade agreements are applicable between the importing Contracting Party and the EEA Parties.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Cumulation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Without prejudice to the provisions of Article 2(1), products shall be considered as originating in the exporting Contracting Party when exported to another Contracting Party if they are obtained there, incorporating materials originating in Switzerland (including Liechtenstein)</w:t>
      </w:r>
      <w:hyperlink r:id="rId9" w:anchor="ntr2-L_2013054EN.01000801-E0002"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2</w:t>
        </w:r>
        <w:r>
          <w:rPr>
            <w:rFonts w:ascii="Times New Roman" w:hAnsi="Times New Roman" w:cs="Times New Roman"/>
            <w:noProof/>
            <w:color w:val="800080"/>
            <w:sz w:val="24"/>
            <w:szCs w:val="24"/>
            <w:lang w:eastAsia="x-none"/>
          </w:rPr>
          <w:t>)</w:t>
        </w:r>
      </w:hyperlink>
      <w:r>
        <w:rPr>
          <w:rFonts w:ascii="Times New Roman" w:hAnsi="Times New Roman" w:cs="Times New Roman"/>
          <w:noProof/>
          <w:color w:val="444444"/>
          <w:sz w:val="24"/>
          <w:szCs w:val="24"/>
          <w:lang w:eastAsia="x-none"/>
        </w:rPr>
        <w:t>, Iceland, Norway, Turkey or in the European Union, provided that the working or processing carried out in the exporting Contracting Party goes beyond the operations referred to in Article 6. It shall not be necessary for such materials to have undergone sufficient working or processing.</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Without prejudice to the provisions of Article 2(1), products shall be considered as originating in the exporting Contracting Party when exported to another Contracting Party if they are obtained there, incorporating materials originating in the Faroe Islands, any participant in the Barcelona Process other than Turkey, or any Contracting Party other than those referred to in paragraph 1 of this Article, provided that the working or processing carried out in the exporting Contracting Party goes beyond the operations referred to in Article 6. It shall not be necessary for such materials to have undergone sufficient working or processing.</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   Where the working or processing carried out in the exporting Contracting Party does not go beyond the operations referred to in Article 6, the product obtained shall be considered as originating in the exporting Contracting Party only where the value added there is greater than the value of the materials used originating in any one of the other Contracting Parties referred to in paragraphs 1 and 2. If this is not so, the product obtained shall be considered as originating in the Contracting Party which accounts for the highest value of originating materials used in the manufacture in the exporting Contracting Party.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4.   Products originating in the Contracting Parties referred to in paragraphs 1 and 2 which do not undergo any working or processing in the exporting Contracting Party shall retain their origin if exported into one of the other Contracting Parties.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5.   The cumulation provided for in this Article may be applied only provided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8625"/>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 preferential trade agreement in accordance with Article XXIV of the General Agreement on Tariffs and Trade is applicable between the Contracting Parties involved in the acquisition of the originating status and the Contracting Party of destination;</w:t>
            </w: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materials and products have acquired originating status by the application of rules of origin identical to those given in this Convention; and</w:t>
            </w:r>
          </w:p>
        </w:tc>
      </w:tr>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notices indicating the fulfilment of the necessary requirements to apply cumulation have been published in the Official Journal of the European Union (C series) and in the Contracting Parties which are party to the relevant Agreements, according to their own procedures.</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cumulation provided for in this Article shall apply from the date indicated in the notice published in the Official Journal of the European Union (C series).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Contracting Parties shall provide the other Contracting Parties which are party to the relevant Agreements, through the European Commission, with details of the Agreements, including their dates of entry into force, which are applied with the other Contracting Parties referred to in paragraphs 1 and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lastRenderedPageBreak/>
        <w:t>Wholly obtained products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The following shall be considered as wholly obtained in a Contracting Party when exported to another Contracting Party:</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13"/>
        <w:gridCol w:w="40"/>
        <w:gridCol w:w="11"/>
        <w:gridCol w:w="15"/>
        <w:gridCol w:w="47"/>
        <w:gridCol w:w="91"/>
        <w:gridCol w:w="17"/>
        <w:gridCol w:w="239"/>
        <w:gridCol w:w="79"/>
        <w:gridCol w:w="10"/>
        <w:gridCol w:w="8116"/>
      </w:tblGrid>
      <w:tr w:rsidR="00D74962">
        <w:tc>
          <w:tcPr>
            <w:tcW w:w="549"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461"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mineral products extracted from its soil or from its seabed;</w:t>
            </w:r>
          </w:p>
        </w:tc>
      </w:tr>
      <w:tr w:rsidR="00D74962">
        <w:tc>
          <w:tcPr>
            <w:tcW w:w="894" w:type="dxa"/>
            <w:gridSpan w:val="1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11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vegetable products harvested there;</w:t>
            </w:r>
          </w:p>
        </w:tc>
      </w:tr>
      <w:tr w:rsidR="00D74962">
        <w:tc>
          <w:tcPr>
            <w:tcW w:w="884"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812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live animals born and raised there;</w:t>
            </w:r>
          </w:p>
        </w:tc>
      </w:tr>
      <w:tr w:rsidR="00D74962">
        <w:tc>
          <w:tcPr>
            <w:tcW w:w="805"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(d)</w:t>
            </w:r>
          </w:p>
        </w:tc>
        <w:tc>
          <w:tcPr>
            <w:tcW w:w="820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from live animals raised there;</w:t>
            </w:r>
          </w:p>
        </w:tc>
      </w:tr>
      <w:tr w:rsidR="00D74962">
        <w:tc>
          <w:tcPr>
            <w:tcW w:w="56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(e)</w:t>
            </w:r>
          </w:p>
        </w:tc>
        <w:tc>
          <w:tcPr>
            <w:tcW w:w="8444"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obtained by hunting or fishing conducted there;</w:t>
            </w:r>
          </w:p>
        </w:tc>
      </w:tr>
      <w:tr w:rsidR="00D74962">
        <w:tc>
          <w:tcPr>
            <w:tcW w:w="34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w:t>
            </w:r>
          </w:p>
        </w:tc>
        <w:tc>
          <w:tcPr>
            <w:tcW w:w="8665"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of sea fishing and other products taken from the sea outside the territorial waters of the exporting Contracting Party by its vessels;</w:t>
            </w:r>
          </w:p>
        </w:tc>
      </w:tr>
      <w:tr w:rsidR="00D74962">
        <w:tc>
          <w:tcPr>
            <w:tcW w:w="411"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(g)</w:t>
            </w:r>
          </w:p>
        </w:tc>
        <w:tc>
          <w:tcPr>
            <w:tcW w:w="8599"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made aboard its factory ships exclusively from products referred to in (f);</w:t>
            </w:r>
          </w:p>
        </w:tc>
      </w:tr>
      <w:tr w:rsidR="00D74962">
        <w:tc>
          <w:tcPr>
            <w:tcW w:w="38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(h)</w:t>
            </w:r>
          </w:p>
        </w:tc>
        <w:tc>
          <w:tcPr>
            <w:tcW w:w="8625"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used articles collected there fit only for the recovery of raw materials, including used tyres fit only for retreading or for use as waste;</w:t>
            </w:r>
          </w:p>
        </w:tc>
      </w:tr>
      <w:tr w:rsidR="00D74962">
        <w:tc>
          <w:tcPr>
            <w:tcW w:w="396"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w:t>
            </w:r>
          </w:p>
        </w:tc>
        <w:tc>
          <w:tcPr>
            <w:tcW w:w="8614"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waste and scrap resulting from manufacturing operations conducted there;</w:t>
            </w:r>
          </w:p>
        </w:tc>
      </w:tr>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(j)</w:t>
            </w:r>
          </w:p>
        </w:tc>
        <w:tc>
          <w:tcPr>
            <w:tcW w:w="8678" w:type="dxa"/>
            <w:gridSpan w:val="1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extracted from marine soil or subsoil outside its territorial waters provided that it has sole rights to work that soil or subsoil;</w:t>
            </w:r>
          </w:p>
        </w:tc>
      </w:tr>
      <w:tr w:rsidR="00D74962">
        <w:tc>
          <w:tcPr>
            <w:tcW w:w="458"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(k)</w:t>
            </w:r>
          </w:p>
        </w:tc>
        <w:tc>
          <w:tcPr>
            <w:tcW w:w="8552"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goods produced there exclusively from the products specified in (a) to (j).</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2.   The terms </w:t>
      </w:r>
      <w:r>
        <w:rPr>
          <w:rFonts w:ascii="Times New Roman" w:eastAsia="Times New Roman" w:hAnsi="Times New Roman" w:cs="Times New Roman"/>
          <w:noProof/>
          <w:color w:val="444444"/>
          <w:sz w:val="24"/>
          <w:szCs w:val="24"/>
          <w:lang w:eastAsia="x-none"/>
        </w:rPr>
        <w:t>‘its vessels’ and ‘its factory ships’ in paragraph 1(f) and (g) shall apply only to vessels and factory ships: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27"/>
        <w:gridCol w:w="81"/>
        <w:gridCol w:w="72"/>
        <w:gridCol w:w="8460"/>
      </w:tblGrid>
      <w:tr w:rsidR="00D74962">
        <w:tc>
          <w:tcPr>
            <w:tcW w:w="480"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(a)</w:t>
            </w:r>
          </w:p>
        </w:tc>
        <w:tc>
          <w:tcPr>
            <w:tcW w:w="853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which are registered or recorded in the exporting Contracting Party;</w:t>
            </w:r>
          </w:p>
        </w:tc>
      </w:tr>
      <w:tr w:rsidR="00D74962">
        <w:tc>
          <w:tcPr>
            <w:tcW w:w="55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(b)</w:t>
            </w:r>
          </w:p>
        </w:tc>
        <w:tc>
          <w:tcPr>
            <w:tcW w:w="846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which sail under the flag of the exporting Contracting Party;</w:t>
            </w:r>
          </w:p>
        </w:tc>
      </w:tr>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w:t>
            </w:r>
          </w:p>
        </w:tc>
        <w:tc>
          <w:tcPr>
            <w:tcW w:w="8640"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which are owned to an extent of at least 50 % by nationals of the exporting Contracting Party, or by a company with its head office in the exporting Contracting Party, of which the manager or managers, Chairman of the Board of Directors or the Supervisory Board, and the majority of the members of such boards are nationals of the exporting Contracting Party and of which, in addition, in the case of partnerships or limited companies, at least half the capital belongs to the exporting Contracting Party or to public bodies or nationals of the said Contracting Party;</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(d)</w:t>
            </w:r>
          </w:p>
        </w:tc>
        <w:tc>
          <w:tcPr>
            <w:tcW w:w="8613"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of which the master and officers are nationals of the exporting Contracting Party; and</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(e)</w:t>
            </w:r>
          </w:p>
        </w:tc>
        <w:tc>
          <w:tcPr>
            <w:tcW w:w="8613"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of which at least 75 % of the crew are nationals of the exporting Contracting Party.</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For the purpose of paragraph 2 (a) and (b), when the exporting Contracting Party is the European Union, it means a Member State of the European Union.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Sufficiently worked or processed products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For the purposes of Article 2, products which are not wholly obtained shall be considered to be sufficiently worked or processed when the conditions set out in the list in Annex II are fulfilled.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The conditions referred to above indicate the working or processing which must be carried out on non-originating materials used in manufacturing and apply only in relation to such materials. It follows that if a product which has acquired originating status by fulfilling the conditions set out in the list is used in the manufacture of another product, the conditions applicable to the product </w:t>
      </w:r>
      <w:r>
        <w:rPr>
          <w:rFonts w:ascii="Times New Roman" w:hAnsi="Times New Roman" w:cs="Times New Roman"/>
          <w:noProof/>
          <w:color w:val="444444"/>
          <w:sz w:val="24"/>
          <w:szCs w:val="24"/>
          <w:lang w:eastAsia="x-none"/>
        </w:rPr>
        <w:lastRenderedPageBreak/>
        <w:t>in which it is incorporated do not apply to it, and no account shall be taken of the non-originating materials which may have been used in its manufacture.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Notwithstanding paragraph 1, non-originating materials which, according to the conditions set out in the list in Annex II, should not be used in the manufacture of a product may nevertheless be used, provided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85"/>
        <w:gridCol w:w="49"/>
        <w:gridCol w:w="8576"/>
      </w:tblGrid>
      <w:tr w:rsidR="00D74962">
        <w:tc>
          <w:tcPr>
            <w:tcW w:w="43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57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their total value does not exceed 10 % of the ex-works price of the product;</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any of the percentages given in the list for the maximum value of non-originating materials are not exceeded by virtue of this paragraph.</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This paragraph shall not apply to products falling within Chapters 50 to 63 of the Harmonised System.</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   Paragraphs 1 and 2 shall apply subject to the provisions of Article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Insufficient working or processing</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Without prejudice to paragraph 2, the following operations shall be considered as insufficient working or processing to confer the status of originating products, whether or not the requirements of Article 5 are satisfied: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40"/>
        <w:gridCol w:w="13"/>
        <w:gridCol w:w="13"/>
        <w:gridCol w:w="58"/>
        <w:gridCol w:w="73"/>
        <w:gridCol w:w="30"/>
        <w:gridCol w:w="54"/>
        <w:gridCol w:w="24"/>
        <w:gridCol w:w="47"/>
        <w:gridCol w:w="69"/>
        <w:gridCol w:w="58"/>
        <w:gridCol w:w="98"/>
        <w:gridCol w:w="116"/>
        <w:gridCol w:w="364"/>
        <w:gridCol w:w="7621"/>
      </w:tblGrid>
      <w:tr w:rsidR="00D74962">
        <w:tc>
          <w:tcPr>
            <w:tcW w:w="37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1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preserving operations to ensure that the products remain in good condition during transport and storage;</w:t>
            </w:r>
          </w:p>
        </w:tc>
      </w:tr>
      <w:tr w:rsidR="00D74962">
        <w:tc>
          <w:tcPr>
            <w:tcW w:w="811" w:type="dxa"/>
            <w:gridSpan w:val="1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199"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breaking-up and assembly of packages;</w:t>
            </w:r>
          </w:p>
        </w:tc>
      </w:tr>
      <w:tr w:rsidR="00D74962">
        <w:tc>
          <w:tcPr>
            <w:tcW w:w="456"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8554" w:type="dxa"/>
            <w:gridSpan w:val="1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washing, cleaning; removal of dust, oxide, oil, paint or other coverings;</w:t>
            </w:r>
          </w:p>
        </w:tc>
      </w:tr>
      <w:tr w:rsidR="00D74962">
        <w:tc>
          <w:tcPr>
            <w:tcW w:w="1025" w:type="dxa"/>
            <w:gridSpan w:val="1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(d)</w:t>
            </w:r>
          </w:p>
        </w:tc>
        <w:tc>
          <w:tcPr>
            <w:tcW w:w="79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ironing or pressing of textiles;</w:t>
            </w:r>
          </w:p>
        </w:tc>
      </w:tr>
      <w:tr w:rsidR="00D74962">
        <w:tc>
          <w:tcPr>
            <w:tcW w:w="753" w:type="dxa"/>
            <w:gridSpan w:val="1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(e)</w:t>
            </w:r>
          </w:p>
        </w:tc>
        <w:tc>
          <w:tcPr>
            <w:tcW w:w="8257"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simple painting and polishing operations;</w:t>
            </w:r>
          </w:p>
        </w:tc>
      </w:tr>
      <w:tr w:rsidR="00D74962">
        <w:tc>
          <w:tcPr>
            <w:tcW w:w="39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w:t>
            </w:r>
          </w:p>
        </w:tc>
        <w:tc>
          <w:tcPr>
            <w:tcW w:w="8612" w:type="dxa"/>
            <w:gridSpan w:val="1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husking, partial or total bleaching, polishing, and glazing of cereals and rice;</w:t>
            </w:r>
          </w:p>
        </w:tc>
      </w:tr>
      <w:tr w:rsidR="00D74962">
        <w:tc>
          <w:tcPr>
            <w:tcW w:w="684"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(g)</w:t>
            </w:r>
          </w:p>
        </w:tc>
        <w:tc>
          <w:tcPr>
            <w:tcW w:w="8326"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operations to colour sugar or form sugar lumps;</w:t>
            </w:r>
          </w:p>
        </w:tc>
      </w:tr>
      <w:tr w:rsidR="00D74962">
        <w:tc>
          <w:tcPr>
            <w:tcW w:w="559"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(h)</w:t>
            </w:r>
          </w:p>
        </w:tc>
        <w:tc>
          <w:tcPr>
            <w:tcW w:w="8451"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peeling, stoning and shelling, of fruits, nuts and vegetables;</w:t>
            </w:r>
          </w:p>
        </w:tc>
      </w:tr>
      <w:tr w:rsidR="00D74962">
        <w:tc>
          <w:tcPr>
            <w:tcW w:w="613"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w:t>
            </w:r>
          </w:p>
        </w:tc>
        <w:tc>
          <w:tcPr>
            <w:tcW w:w="839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sharpening, simple grinding or simple cutting;</w:t>
            </w:r>
          </w:p>
        </w:tc>
      </w:tr>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(j)</w:t>
            </w:r>
          </w:p>
        </w:tc>
        <w:tc>
          <w:tcPr>
            <w:tcW w:w="8678" w:type="dxa"/>
            <w:gridSpan w:val="1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sifting, screening, sorting, classifying, grading, matching; (including the making-up of sets of articles);</w:t>
            </w:r>
          </w:p>
        </w:tc>
      </w:tr>
      <w:tr w:rsidR="00D74962">
        <w:tc>
          <w:tcPr>
            <w:tcW w:w="38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(k)</w:t>
            </w:r>
          </w:p>
        </w:tc>
        <w:tc>
          <w:tcPr>
            <w:tcW w:w="8625" w:type="dxa"/>
            <w:gridSpan w:val="1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simple placing in bottles, cans, flasks, bags, cases, boxes, fixing on cards or boards and all other simple packaging operations;</w:t>
            </w:r>
          </w:p>
        </w:tc>
      </w:tr>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(l)</w:t>
            </w:r>
          </w:p>
        </w:tc>
        <w:tc>
          <w:tcPr>
            <w:tcW w:w="8678" w:type="dxa"/>
            <w:gridSpan w:val="1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affixing or printing marks, labels, logos and other like distinguishing signs on products or their packaging;</w:t>
            </w:r>
          </w:p>
        </w:tc>
      </w:tr>
      <w:tr w:rsidR="00D74962">
        <w:tc>
          <w:tcPr>
            <w:tcW w:w="637"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(m)</w:t>
            </w:r>
          </w:p>
        </w:tc>
        <w:tc>
          <w:tcPr>
            <w:tcW w:w="8373"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simple mixing of products, whether or not of different kinds;</w:t>
            </w:r>
          </w:p>
        </w:tc>
      </w:tr>
      <w:tr w:rsidR="00D74962">
        <w:tc>
          <w:tcPr>
            <w:tcW w:w="909" w:type="dxa"/>
            <w:gridSpan w:val="1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(n)</w:t>
            </w:r>
          </w:p>
        </w:tc>
        <w:tc>
          <w:tcPr>
            <w:tcW w:w="810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mixing of sugar with any material;</w:t>
            </w:r>
          </w:p>
        </w:tc>
      </w:tr>
      <w:tr w:rsidR="00D74962">
        <w:tc>
          <w:tcPr>
            <w:tcW w:w="38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(o)</w:t>
            </w:r>
          </w:p>
        </w:tc>
        <w:tc>
          <w:tcPr>
            <w:tcW w:w="8625" w:type="dxa"/>
            <w:gridSpan w:val="1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simple assembly of parts of articles to constitute a complete article or disassembly of products into parts;</w:t>
            </w:r>
          </w:p>
        </w:tc>
      </w:tr>
      <w:tr w:rsidR="00D74962">
        <w:tc>
          <w:tcPr>
            <w:tcW w:w="529"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w:t>
            </w:r>
          </w:p>
        </w:tc>
        <w:tc>
          <w:tcPr>
            <w:tcW w:w="8481"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 combination of two or more operations specified in (a) to (n);</w:t>
            </w:r>
          </w:p>
        </w:tc>
      </w:tr>
      <w:tr w:rsidR="00D74962">
        <w:tc>
          <w:tcPr>
            <w:tcW w:w="1389" w:type="dxa"/>
            <w:gridSpan w:val="1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(q)</w:t>
            </w:r>
          </w:p>
        </w:tc>
        <w:tc>
          <w:tcPr>
            <w:tcW w:w="762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slaughter of animals.</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2.   All operations carried out in the exporting Contracting Party on a given product shall be considered together when determining whether the working or processing undergone by that product is to be regarded as insufficient within the meaning of paragraph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Unit of qualification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The unit of qualification for the application of the provisions of this Convention shall be the particular product which is considered as the basic unit when determining classification using the nomenclature of the Harmonised System.</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It follows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8625"/>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when a product composed of a group or assembly of articles is classified under the terms of the Harmonised System in a single heading, the whole constitutes the unit of qualification;</w:t>
            </w: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when a consignment consists of a number of identical products classified under the same heading of the Harmonised System, each product must be taken individually when applying the provisions of this Convention.</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Where, under General Rule 5 of the Harmonised System, packaging is included with the product for classification purposes, it shall be included for the purposes of determining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Accessories, spare parts and tools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Accessories, spare parts and tools dispatched with a piece of equipment, machine, apparatus or vehicle, which are part of the normal equipment and included in the price thereof or which are not separately invoiced, shall be regarded as one with the piece of equipment, machine, apparatus or vehicle in question.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Sets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Sets, as defined in General Rule 3 of the Harmonised System, shall be regarded as originating when all component products are originating. Nevertheless, when a set is composed of originating and non-originating products, the set as a whole shall be regarded as originating, provided that the value of the non-originating products does not exceed 15% of the ex-works price of the set.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Neutral elements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In order to determine whether a product is an originating product, it shall not be necessary to determine the origin of the following which might be used in its 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85"/>
        <w:gridCol w:w="993"/>
        <w:gridCol w:w="28"/>
        <w:gridCol w:w="239"/>
        <w:gridCol w:w="7365"/>
      </w:tblGrid>
      <w:tr w:rsidR="00D74962">
        <w:tc>
          <w:tcPr>
            <w:tcW w:w="1645"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73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energy and fuel;</w:t>
            </w:r>
          </w:p>
        </w:tc>
      </w:tr>
      <w:tr w:rsidR="00D74962">
        <w:tc>
          <w:tcPr>
            <w:tcW w:w="137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763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plant and equipment;</w:t>
            </w:r>
          </w:p>
        </w:tc>
      </w:tr>
      <w:tr w:rsidR="00D74962">
        <w:tc>
          <w:tcPr>
            <w:tcW w:w="140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760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machines and tools;</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(d)</w:t>
            </w:r>
          </w:p>
        </w:tc>
        <w:tc>
          <w:tcPr>
            <w:tcW w:w="8625"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goods which neither enter into the final composition of the product nor are intended to do so.</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TITLE III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TERRITORIAL REQUIREMENTS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Principle of territoriality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1.   Except as provided for in Article 2(1)(c), Article 3 and paragraph 3 of this Article, the conditions for acquiring originating status set out in Title II shall be fulfilled without interruption in the exporting Contracting Party.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Except as provided for in Article 3, where originating goods exported from a Contracting Party to another country return, they shall be considered as non-originating, unless it can be demonstrated to the satisfaction of the customs authorities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85"/>
        <w:gridCol w:w="193"/>
        <w:gridCol w:w="8432"/>
      </w:tblGrid>
      <w:tr w:rsidR="00D74962">
        <w:tc>
          <w:tcPr>
            <w:tcW w:w="57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4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returning goods are the same as those exported; and</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they have not undergone any operation beyond that necessary to preserve them in good condition while in that country or while being exported.</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   The acquisition of originating status in accordance with the conditions set out in Title II shall not be affected by working or processing done outside the exporting Contracting Party on materials exported from the latter Contracting Party and subsequently re-imported there, provided: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8625"/>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said materials are wholly obtained in the exporting Contracting Party or have undergone working or processing beyond the operations referred to in Article 6 prior to being exported; and</w:t>
            </w: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it can be demonstrated to the satisfaction of the customs authorities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8105"/>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7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re-imported goods have been obtained by working or processing the exported materials; and</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total added value acquired outside the exporting Contracting Party by applying the provisions of this Article does not exceed 10 % of the ex-works price of the end product for which originating status is claimed.</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4.   For the purposes of paragraph 3, the conditions for acquiring originating status set out in Title II shall not apply to working or processing done outside the exporting Contracting Party. However, where, in the list in Annex II, a rule setting a maximum value for all the non-originating materials incorporated is applied in determining the originating status of the end product, the total value of the non-originating materials incorporated in the territory of the exporting Contracting Party, taken together with the total added value acquired outside this Contracting Party by applying the provisions of this Article, shall not exceed the stated percentage.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5.   For the purposes of applying the provisions of paragraphs 3 and 4, </w:t>
      </w:r>
      <w:r>
        <w:rPr>
          <w:rFonts w:ascii="Times New Roman" w:eastAsia="Times New Roman" w:hAnsi="Times New Roman" w:cs="Times New Roman"/>
          <w:noProof/>
          <w:color w:val="444444"/>
          <w:sz w:val="24"/>
          <w:szCs w:val="24"/>
          <w:lang w:eastAsia="x-none"/>
        </w:rPr>
        <w:t>‘total added value’ means all costs arising outside the exporting Contracting Party, including the value of the materials incorporated there.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6.   The provisions of paragraphs 3 and 4 shall not apply to products which do not fulfil the conditions set out in the list in Annex II or which can be considered sufficiently worked or processed only if the general tolerance fixed in Article 5(2) is applied.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7.   The provisions of paragraphs 3 and 4 shall not apply to products of Chapters 50 to 63 of the Harmonised System.</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8.   Any working or processing of the kind covered by the provisions of this Article and done outside the exporting Contracting Party shall be done under the outward processing arrangements, or similar arrangements.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Direct transport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1.   The preferential treatment provided for under the relevant Agreement shall apply only to products satisfying the requirements of this Convention which are transported directly between or </w:t>
      </w:r>
      <w:r>
        <w:rPr>
          <w:rFonts w:ascii="Times New Roman" w:hAnsi="Times New Roman" w:cs="Times New Roman"/>
          <w:noProof/>
          <w:color w:val="444444"/>
          <w:sz w:val="24"/>
          <w:szCs w:val="24"/>
          <w:lang w:eastAsia="x-none"/>
        </w:rPr>
        <w:lastRenderedPageBreak/>
        <w:t>through the territories of the Contracting Parties with which cumulation is applicable in accordance with Article 3. However, products constituting one single consignment may be transported through other territories with, should the occasion arise, trans-shipment or temporary warehousing in such territories, provided that they remain under the surveillance of the customs authorities in the country of transit or warehousing and do not undergo operations other than unloading, reloading or any operation designed to preserve them in good condition.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Originating products may be transported by pipeline across territory other than that of the Contracting Parties acting as exporting and importing parties.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Evidence that the conditions set out in paragraph 1 have been fulfilled shall be supplied to the customs authorities of the importing Contracting Party by the production of:</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332"/>
        <w:gridCol w:w="8293"/>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 single transport document covering the passage from the exporting Contracting Party through the country of transit; or</w:t>
            </w: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 certificate issued by the customs authorities of the country of transit: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99"/>
              <w:gridCol w:w="66"/>
              <w:gridCol w:w="149"/>
              <w:gridCol w:w="7890"/>
            </w:tblGrid>
            <w:tr w:rsidR="00D74962">
              <w:tc>
                <w:tcPr>
                  <w:tcW w:w="614"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789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giving an exact description of the products;</w:t>
                  </w:r>
                </w:p>
              </w:tc>
            </w:tr>
            <w:tr w:rsidR="00D74962">
              <w:tc>
                <w:tcPr>
                  <w:tcW w:w="3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0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stating the dates of unloading and reloading of the products and, where applicable, the names of the ships, or the other means of transport used; and</w:t>
                  </w:r>
                </w:p>
              </w:tc>
            </w:tr>
            <w:tr w:rsidR="00D74962">
              <w:tc>
                <w:tcPr>
                  <w:tcW w:w="46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(iii)</w:t>
                  </w:r>
                </w:p>
              </w:tc>
              <w:tc>
                <w:tcPr>
                  <w:tcW w:w="803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certifying the conditions under which the products remained in the transit country; or</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717"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829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failing these, any substantiating documents.</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Exhibitions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Originating products, sent for exhibition in a country other than those referred to in Article 3 with which cumulation is applicable and sold after the exhibition for importation in a Contracting Party, shall benefit on importation from the provisions of the relevant Agreement provided it is shown to the satisfaction of the customs authorities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8625"/>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an exporter has consigned these products from a Contracting Party to the country in which the exhibition is held and has exhibited them there;</w:t>
            </w: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products have been sold or otherwise disposed of by that exporter to a person in another Contracting Party;</w:t>
            </w:r>
          </w:p>
        </w:tc>
      </w:tr>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products have been consigned during the exhibition or immediately thereafter in the state in which they were sent for exhibition; and</w:t>
            </w: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(d)</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products have not, since they were consigned for exhibition, been used for any purpose other than demonstration at the exhibition.</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A proof of origin shall be issued or made out in accordance with the provisions of Title V and submitted to the customs authorities of the importing Contracting Party in the normal manner. The name and address of the exhibition shall be indicated thereon. Where necessary, additional documentary evidence of the conditions under which they have been exhibited may be required.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   Paragraph 1 shall apply to any trade, industrial, agricultural or crafts exhibition, fair or similar public show or display which is not organised for private purposes in shops or business premises with a view to the sale of foreign products, and during which the products remain under customs control.</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TITLE IV</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lastRenderedPageBreak/>
        <w:t>DRAWBACK OR EXEMPTION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Prohibition of drawback of, or exemption from, customs duties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Non-originating materials used in the manufacture of products originating in a Contracting Party for which a proof of origin is issued or made out in accordance with the provisions of Title V shall not be subject in the exporting Contracting Party to drawback of, or exemption from, customs duties of whatever kind.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The prohibition in paragraph 1 shall apply to any arrangement for refund, remission or non-payment, partial or complete, of customs duties or charges having an equivalent effect, applicable in the exporting Contracting Party to materials used in the manufacture, where such refund, remission or non-payment applies, expressly or in effect, when products obtained from the said materials are exported and not when they are retained for home use there.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   The exporter of products covered by a proof of origin shall be prepared to submit at any time, upon request from the customs authorities, all appropriate documents proving that no drawback has been obtained in respect of the non-originating materials used in the manufacture of the products concerned and that all customs duties or charges having equivalent effect applicable to such materials have actually been paid.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4.   The provisions of paragraphs 1, 2 and 3 of this Article shall also apply in respect of packaging within the meaning of Article 7(2), accessories, spare parts and tools within the meaning of Article 8 and products in a set within the meaning of Article 9 when such items are non-originating.</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5.   The provisions of paragraphs 1 to 4 shall apply only in respect of materials which are of the kind to which the relevant Agreement applies.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85"/>
        <w:gridCol w:w="8725"/>
      </w:tblGrid>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6.</w:t>
            </w:r>
          </w:p>
        </w:tc>
        <w:tc>
          <w:tcPr>
            <w:tcW w:w="8725" w:type="dxa"/>
            <w:tcBorders>
              <w:top w:val="single" w:sz="6" w:space="0" w:color="auto"/>
              <w:left w:val="single" w:sz="6" w:space="0" w:color="auto"/>
              <w:bottom w:val="single" w:sz="6" w:space="0" w:color="auto"/>
              <w:right w:val="single" w:sz="6" w:space="0" w:color="auto"/>
            </w:tcBorders>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385"/>
              <w:gridCol w:w="8219"/>
            </w:tblGrid>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w:t>
                  </w:r>
                </w:p>
              </w:tc>
              <w:tc>
                <w:tcPr>
                  <w:tcW w:w="821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hAnsi="Times New Roman" w:cs="Times New Roman"/>
                      <w:noProof/>
                      <w:sz w:val="24"/>
                      <w:szCs w:val="24"/>
                      <w:lang w:eastAsia="x-none"/>
                    </w:rPr>
                    <w:t>The prohibition in paragraph 1 of this Article shall not apply in bilateral trade between one of the Contracting Parties referred to in Article 3(1) with one of the Contracting Parties referred to in Article 3(2), excluding Israel, the Faroe Islands and the participants in the European Union</w:t>
                  </w:r>
                  <w:r>
                    <w:rPr>
                      <w:rFonts w:ascii="Times New Roman" w:eastAsia="Times New Roman" w:hAnsi="Times New Roman" w:cs="Times New Roman"/>
                      <w:noProof/>
                      <w:sz w:val="24"/>
                      <w:szCs w:val="24"/>
                      <w:lang w:eastAsia="x-none"/>
                    </w:rPr>
                    <w:t>’s Stabilisation and Association Process, if the products are considered as originating in the exporting or importing Contracting Party without application of cumulation with materials originating in one of the other Contracting Parties referred to in Article 3.</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(b)</w:t>
                  </w:r>
                </w:p>
              </w:tc>
              <w:tc>
                <w:tcPr>
                  <w:tcW w:w="821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prohibition in paragraph 1 of this Article shall not apply in bilateral trade between Egypt, Jordan, Morocco and Tunisia, if the products are considered as originating in one of these countries without application of cumulation with materials originating in one of the other Contracting Parties referred to in Article 3.</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7.   Notwithstanding paragraph 1, the exporting Contracting Party may, except for products falling within Chapters 1 to 24 of the Harmonised System, apply arrangements for drawback of, or exemption from, customs duties or charges having an equivalent effect, applicable to non-originating materials used in the manufacture of originating products, subject to the following provisions: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8625"/>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 4 % rate of customs charge shall be retained in respect of products falling within Chapters 25 to 49 and 64 to 97 of the Harmonised System, or such lower rate as is in force in the exporting Contracting Party;</w:t>
            </w: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(b)</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 8 % rate of customs charge shall be retained in respect of products falling within Chapters 50 to 63 of the Harmonised System, or such lower rate as is in force in the exporting Contracting Party.</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provisions of this paragraph shall not be applied by the Contracting Parties listed in Annex V.</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8.   The provisions of paragraph 7 shall apply until 31 December 2012 and may be reviewed by common accord.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TITLE V</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PROOF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General requirements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Products originating in one of the Contracting Parties shall, on importation into other Contracting Parties, benefit from the provisions of the relevant Agreements upon submission of one of the following proofs of origin:</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50"/>
        <w:gridCol w:w="9"/>
        <w:gridCol w:w="8579"/>
      </w:tblGrid>
      <w:tr w:rsidR="00D74962">
        <w:tc>
          <w:tcPr>
            <w:tcW w:w="43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57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 movement certificate EUR.1, a specimen of which appears in Annex III a;</w:t>
            </w:r>
          </w:p>
        </w:tc>
      </w:tr>
      <w:tr w:rsidR="00D74962">
        <w:tc>
          <w:tcPr>
            <w:tcW w:w="42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58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 movement certificate EUR-MED, a specimen of which appears in Annex III b;</w:t>
            </w:r>
          </w:p>
        </w:tc>
      </w:tr>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863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in the cases specified in Article 21(1), a declaration (hereinafter referred to as the </w:t>
            </w:r>
            <w:r>
              <w:rPr>
                <w:rFonts w:ascii="Times New Roman" w:eastAsia="Times New Roman" w:hAnsi="Times New Roman" w:cs="Times New Roman"/>
                <w:noProof/>
                <w:color w:val="444444"/>
                <w:sz w:val="24"/>
                <w:szCs w:val="24"/>
                <w:lang w:eastAsia="x-none"/>
              </w:rPr>
              <w:t>‘origin declaration’ or ‘the origin declaration EUR-MED’) given by the exporter on an invoice, a delivery note or any other commercial document which describes the products concerned in sufficient detail to enable them to be identified. The texts of the origin declarations appear in Annexes IV a and b.</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Notwithstanding paragraph 1, originating products within the meaning of this Convention shall, in the cases specified in Article 26, benefit from the provisions of the relevant Agreements without it being necessary to submit any of the proofs of origin referred to in paragraph 1 of this Article.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Procedure for the issue of a movement certificate EUR.1 or EUR-MED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A movement certificate EUR.1 or EUR-MED shall be issued by the customs authorities of the exporting Contracting Party on application having been made in writing by the exporter or, under the exporter</w:t>
      </w:r>
      <w:r>
        <w:rPr>
          <w:rFonts w:ascii="Times New Roman" w:eastAsia="Times New Roman" w:hAnsi="Times New Roman" w:cs="Times New Roman"/>
          <w:noProof/>
          <w:color w:val="444444"/>
          <w:sz w:val="24"/>
          <w:szCs w:val="24"/>
          <w:lang w:eastAsia="x-none"/>
        </w:rPr>
        <w:t>’s responsibility, by his authorised representative.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For this purpose, the exporter or his authorised representative shall fill in both the movement certificate EUR.1 or EUR-MED and the application form, specimens of which appear in the Annexes III a and b. These forms shall be completed in one of the languages in which the relevant Agreement is drawn up and in accordance with the provisions of the national law of the exporting country. If the completion of the forms is done in handwriting, they shall be completed in ink in printed characters. The description of the products shall be given in the box reserved for this purpose without leaving any blank lines. Where the box is not completely filled, a horizontal line shall be drawn below the last line of the description, the empty space being crossed through.</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The exporter applying for the issue of a movement certificate EUR.1 or EUR-MED shall be prepared to submit at any time, at the request of the customs authorities of the exporting Contracting Party where the movement certificate EUR.1 or EUR-MED is issued, all appropriate documents proving the originating status of the products concerned as well as the fulfilment of the other requirements of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lastRenderedPageBreak/>
        <w:t>4.   Without prejudice to paragraph 5, a movement certificate EUR.1 shall be issued by the customs authorities of the exporting Contracting Party in the following cases: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8625"/>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the products are exported from one of the Contracting Parties referred to in Article 3(1) to one of the other Contracting Parties referred to in Article 3(1)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8118"/>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concerned can be considered as products originating in the exporting Contracting Party, in the importing Contracting Party or in one of the other Contracting Parties referred to in Article 3(1) with which cumulation is applicable, without application of cumulation with materials originating in one of the Contracting Parties referred to in Article 3(2), and fulfil the other requirements of this Convention,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1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concerned can be considered as products originating in one of the Contracting Parties referred to in Article 3(2) with which cumulation is applicable, without application of cumulation with materials originating in one of the Contracting Parties referred to in Article 3, and fulfil the other requirements of this Convention, provided a certificate EUR-MED or an origin declaration EUR-MED has been issued in the country of origin;</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the products are exported from one of the Contracting Parties referred to in Article 3(1) to one of the Contracting Parties referred to in Article 3(2) or from one of the Contracting Parties referred to in Article 3(2) to one of the Contracting Parties referred to in Article 3(1)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8105"/>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7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concerned can be considered as products originating in the exporting Contracting Party or in the importing Contracting Party, without application of cumulation with materials originating in one of the other Contracting Parties, and fulfil the other requirements of this Convention,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concerned can be considered as products originating in one of the other Contracting Parties referred to in Article 3, with which cumulation is applicable, without application of cumulation with materials originating in one of the Contracting Parties referred to in Article 3, and fulfil the other requirements of this Convention, provided a certificate EUR-MED or an origin declaration EUR-MED has been issued in the country of origin;</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the products are exported from one of the Contracting Parties referred to in Article 3(2) to one of the Contracting Parties referred to in Article 3(2)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8118"/>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concerned can be considered as products originating in the exporting Contracting Party or in the importing Contracting Party, without application of cumulation with materials originating in one of the other Contracting Parties, and fulfil the other requirements of this Convention,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1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concerned can be considered as products originating in one of the other Contracting Parties referred to in Article 3, with which cumulation is applicable, without application of cumulation with materials originating in one of the Contracting Parties referred to in Article 3, and fulfil the other requirements of this Convention, provided a certificate EUR-MED or an origin declaration EUR-MED has been issued in the country of origin.</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5.   A movement certificate EUR-MED shall be issued by the customs authorities of the exporting Contracting Party, if the products concerned can be considered as products originating in the exporting Contracting Party, in the importing Contracting Party or in one of the other Contracting Parties referred to in Article 3 with which cumulation is applicable and fulfil the requirements of this Convention, in the following cases: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8625"/>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the products are exported from one of the Contracting Parties referred to in Article 3(1) to one of the other Contracting Parties referred to in Article 3(1)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66"/>
              <w:gridCol w:w="8052"/>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8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cumulation was applied with materials originating in one or more of the Contracting Parties referred to in Article 3(2), provided a certificate EUR-MED or an origin declaration EUR-MED has been issued in the country of origin,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1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may be used in the importing Contracting Party as materials in the context of cumulation for the manufacture of products for export from the importing Contracting Party to one of the Contracting Parties referred to in Article 3(2), or</w:t>
                  </w:r>
                </w:p>
              </w:tc>
            </w:tr>
            <w:tr w:rsidR="00D74962">
              <w:tc>
                <w:tcPr>
                  <w:tcW w:w="46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(iii)</w:t>
                  </w:r>
                </w:p>
              </w:tc>
              <w:tc>
                <w:tcPr>
                  <w:tcW w:w="805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may be re-exported from the importing Contracting Party to one of the Contracting Parties referred to in Article 3(2);</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the products are exported from one of the Contracting Parties referred to in Article 3(1) to one of the Contracting Parties referred to in Article 3(2) or from one of the Contracting Parties referred to in Article 3(2) to one of the Contracting Parties referred to in Article 3(1)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66"/>
              <w:gridCol w:w="8039"/>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7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cumulation was applied with materials originating in one or more of the other Contracting Parties referred to in Article 3, provided a certificate EUR-MED or an origin declaration EUR-MED has been issued in the country of origin,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0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may be used in the importing Contracting Party as materials in the context of cumulation for the manufacture of products for export from the importing Contracting Party to one of the other Contracting Parties referred to in Article 3, or</w:t>
                  </w:r>
                </w:p>
              </w:tc>
            </w:tr>
            <w:tr w:rsidR="00D74962">
              <w:tc>
                <w:tcPr>
                  <w:tcW w:w="46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(iii)</w:t>
                  </w:r>
                </w:p>
              </w:tc>
              <w:tc>
                <w:tcPr>
                  <w:tcW w:w="803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may be re-exported from the importing Contracting Party to one of the Contracting Parties referred to in Article 3;</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the products are exported from one of the Contracting Parties referred to in Article 3(2) to one of the Contracting Parties referred to in Article 3(2)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66"/>
              <w:gridCol w:w="8052"/>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8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cumulation was applied with materials originating in one or more of the other Contracting Parties referred to in Article 3, provided a certificate EUR-MED or an origin declaration EUR-MED has been issued in the country of origin,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1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may be used in the importing Contracting Party as materials in the context of cumulation for the manufacture of products for export from the importing Contracting Party to one of the other Contracting Parties referred to in Article 3, or</w:t>
                  </w:r>
                </w:p>
              </w:tc>
            </w:tr>
            <w:tr w:rsidR="00D74962">
              <w:tc>
                <w:tcPr>
                  <w:tcW w:w="46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(iii)</w:t>
                  </w:r>
                </w:p>
              </w:tc>
              <w:tc>
                <w:tcPr>
                  <w:tcW w:w="805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may be re-exported from the importing Contracting Party to one of the Contracting Parties referred to in Article 3.</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6.   A movement certificate EUR-MED shall contain one of the following statements in English in box 7:</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8625"/>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origin has been obtained by application of cumulation with materials originating in one or more of the Contracting Parties: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lastRenderedPageBreak/>
              <w:t>‘CUMULATION APPLIED WITH … (name of the country/countries)’</w:t>
            </w: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lastRenderedPageBreak/>
              <w:t>(b)</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if origin has been obtained without the application of cumulation with materials originating in one or more of the Contracting Parties: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‘NO CUMULATION APPLIED’</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7.   The customs authorities issuing movement certificates EUR.1 or EUR-MED shall take any steps necessary to verify the originating status of the products and the fulfilment of the other requirements of this Convention. For this purpose, they shall have the right to call for any evidence and to carry out any inspection of the exporter’s accounts or any other check considered appropriate. They shall also ensure that the forms referred to in paragraph 2 are duly completed. In particular, they shall check whether the space reserved for the description of the products has been completed in such a manner as to exclude all possibility of fraudulent additions.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8.   The date of issue of the movement certificate EUR.1 or EUR-MED shall be indicated in Box 11 of the certificate.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9.   A movement certificate EUR.1 or EUR-MED shall be issued by the customs authorities and made available to the exporter as soon as actual exportation has been effected or ensured.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Movement certificates EUR.1 or EUR-MED issued retrospectively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Notwithstanding Article 16(9), a movement certificate EUR.1 or EUR-MED may exceptionally be issued after exportation of the products to which it relates if:</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8625"/>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it was not issued at the time of exportation because of errors or involuntary omissions or special circumstances; or</w:t>
            </w: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it is demonstrated to the satisfaction of the customs authorities that a movement certificate EUR.1 or EUR-MED was issued but was not accepted at importation for technical reasons.</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Notwithstanding Article 16(9), a movement certificate EUR-MED may be issued after exportation of the products to which it relates and for which a movement certificate EUR.1 was issued at the time of exportation, provided that it is demonstrated to the satisfaction of the customs authorities that the conditions referred to in Article 16(5) are satisfied.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   For the implementation of paragraphs 1 and 2, the exporter shall indicate in his application the place and date of exportation of the products to which the movement certificate EUR.1 or EUR-MED relates, and state the reasons for his request.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4.   The customs authorities may issue a movement certificate EUR.1 or EUR-MED retrospectively only after verifying that the information supplied in the exporter</w:t>
      </w:r>
      <w:r>
        <w:rPr>
          <w:rFonts w:ascii="Times New Roman" w:eastAsia="Times New Roman" w:hAnsi="Times New Roman" w:cs="Times New Roman"/>
          <w:noProof/>
          <w:color w:val="444444"/>
          <w:sz w:val="24"/>
          <w:szCs w:val="24"/>
          <w:lang w:eastAsia="x-none"/>
        </w:rPr>
        <w:t>’s application complies with that in the corresponding file.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5.   Movement certificates EUR.1 or EUR-MED issued retrospectively shall be endorsed with the following phrase in English:</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‘ISSUED RETROSPECTIVELY’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Movement certificates EUR-MED issued retrospectively by application of paragraph 2 shall be endorsed with the following phrase in English:</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‘ISSUED RETROSPECTIVELY (Original EUR.1 No … [date and place of issue])’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6.   The endorsement referred to in paragraph 5 shall be inserted in Box 7 of the movement certificate EUR.1 or EUR-MED.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lastRenderedPageBreak/>
        <w:t>Issue of a duplicate movement certificate EUR.1 or EUR-MED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In the event of theft, loss or destruction of a movement certificate EUR.1 or EUR-MED, the exporter may apply to the customs authorities which issued it for a duplicate made out on the basis of the export documents in their possession.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The duplicate issued in this way shall be endorsed with the following word in English:</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‘DUPLICATE’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The endorsement referred to in paragraph 2 shall be inserted in Box 7 of the duplicate movement certificate EUR.1 or EUR-MED.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The duplicate, which shall bear the date of issue of the original movement certificate EUR.1 or EUR-MED, shall take effect as from that date.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Issue of movement certificates EUR.1 or EUR-MED on the basis of a proof of origin issued or made out previously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When originating products are placed under the control of a customs office in a Contracting Party, it shall be possible to replace the original proof of origin by one or more movement certificates EUR.1 or EUR-MED for the purpose of sending all or some of these products elsewhere within that Contracting Party. The replacement movement certificate(s) EUR.1 or EUR-MED shall be issued by the customs office under whose control the products are placed.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Accounting segregation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1.   Where considerable cost or material difficulties arise in keeping separate stocks of originating and non-originating materials which are identical and interchangeable, the customs authorities may, at the written request of those concerned, authorise the so-called </w:t>
      </w:r>
      <w:r>
        <w:rPr>
          <w:rFonts w:ascii="Times New Roman" w:eastAsia="Times New Roman" w:hAnsi="Times New Roman" w:cs="Times New Roman"/>
          <w:noProof/>
          <w:color w:val="444444"/>
          <w:sz w:val="24"/>
          <w:szCs w:val="24"/>
          <w:lang w:eastAsia="x-none"/>
        </w:rPr>
        <w:t>‘accounting segregation’ method (hereinafter referred to as the ‘method’) to be used for managing such stocks.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The method shall ensure that, for a specific reference period, the number of products obtained which could be considered as ‘originating’ is the same as that which would have been obtained had there been physical segregation of the stocks.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The customs authorities may make the grant of authorisation referred to in paragraph 1 subject to any conditions deemed appropriate.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The method shall be applied and the application thereof shall be recorded on the basis of the general accounting principles applicable in the country where the product was manufactured.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5.   The beneficiary of the method may make out or apply for proofs of origin, as the case may be, for the quantity of products which may be considered as originating. At the request of the customs authorities, the beneficiary shall provide a statement of how the quantities have been managed.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6.   The customs authorities shall monitor the use made of the authorisation and may withdraw it whenever the beneficiary makes improper use of the authorisation in any manner whatsoever or fails to fulfil any of the other conditions laid down in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Conditions for making out an origin declaration or an origin declaration EUR-MED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An origin declaration or an origin declaration EUR-MED as referred to in Article 15(1)(c) may be made out: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85"/>
        <w:gridCol w:w="144"/>
        <w:gridCol w:w="8481"/>
      </w:tblGrid>
      <w:tr w:rsidR="00D74962">
        <w:tc>
          <w:tcPr>
            <w:tcW w:w="52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4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by an approved exporter within the meaning of Article 22, or</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by any exporter for any consignment consisting of one or more packages containing originating products the total value of which does not exceed EUR 6 000.</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2.   Without prejudice to paragraph 3, an origin declaration may be made out in the following cases: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8625"/>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the products are exported from one of the Contracting Parties referred to in Article 3(1) to one of the other Contracting Parties referred to in Article 3(1)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8118"/>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concerned can be considered as products originating in the exporting Contracting Party, in the importing Contracting Party or in one of the other Contracting Parties referred to in Article 3(1) with which cumulation is applicable, without application of cumulation with materials originating in one of the Contracting Parties referred to in Articles 3(2), and fulfil the other requirements of this Convention,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1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concerned can be considered as products originating in one of the Contracting Parties referred to in Article 3(2) with which cumulation is applicable, without application of cumulation with materials originating in one of the Contracting Parties referred to in Article 3, and fulfil the other requirements of this Convention, provided a certificate EUR-MED or an origin declaration EUR-MED has been issued in the country of origin;</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the products are exported from one of the Contracting Parties referred to in Article 3(1) to one of the Contracting Parties referred to in Article 3(2) or from one of the Contracting Parties referred to in Article 3(2) to one of the Contracting Parties referred to in Article 3(1)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8105"/>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7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concerned can be considered as products originating in the exporting Contracting Party or in the importing Contracting Party, without application of cumulation with materials originating in one of the other Contracting Parties, and fulfil the other requirements of this Convention,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concerned can be considered as products originating in one of the other Contracting Parties referred to in Article 3, with which cumulation is applicable, without application of cumulation with materials originating in one of the Contracting Parties referred to in Article 3, and fulfil the other requirements of this Convention, provided a certificate EUR-MED or an origin declaration EUR-MED has been issued in the country of origin;</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the products are exported from one of the Contracting Parties referred to in Article 3(2) to one of the Contracting Parties referred to in Article 3(2)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8118"/>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concerned can be considered as products originating in the exporting Contracting Party or in the importing Contracting Party, without application of cumulation with materials originating in one of the other Contracting Parties, and fulfil the other requirements of this Convention,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1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concerned can be considered as products originating in one of the other Contracting Parties referred to in Article 3, with which cumulation is applicable, without application of cumulation with materials originating in one of the Contracting Parties referred to in Article 3, and fulfil the other requirements of this Convention, provided a certificate EUR-MED or an origin declaration EUR-MED has been issued in the country of origin.</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3.   An origin declaration EUR-MED may be made out if the products concerned can be considered as products originating in the exporting Contracting Party, in the importing Contracting Party or in one of the other Contracting Parties referred to in Article 3 with which cumulation is applicable and fulfil the requirements of this Convention, in the following cases: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8625"/>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the products are exported from one of the Contracting Parties referred to in Article 3(1) to one of the other Contracting Parties referred to in Article 3(1)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66"/>
              <w:gridCol w:w="8052"/>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8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cumulation was applied with materials originating in one or more of the Contracting Parties referred to in Article 3(2), provided a certificate EUR-MED or an origin declaration EUR-MED has been issued in the country of origin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1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may be used in the importing Contracting Party as materials in the context of cumulation for the manufacture of products for export from the importing Contracting Party to one of the Contracting Parties referred to in Article 3(2), or</w:t>
                  </w:r>
                </w:p>
              </w:tc>
            </w:tr>
            <w:tr w:rsidR="00D74962">
              <w:tc>
                <w:tcPr>
                  <w:tcW w:w="46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(iii)</w:t>
                  </w:r>
                </w:p>
              </w:tc>
              <w:tc>
                <w:tcPr>
                  <w:tcW w:w="805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may be re-exported from the importing Contracting Party to one of the Contracting Parties referred to in Article 3(2);</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(b)</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the products are exported from one of the Contracting Parties referred to in Article 3(1) to one of the Contracting Parties referred to in Article 3(2) or from one of the Contracting Parties referred to in Article 3(2) to one of the Contracting Parties referred to in Article 3(1)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66"/>
              <w:gridCol w:w="8039"/>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7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cumulation was applied with materials originating in one or more of the other Contracting Parties referred to in Article 3, provided a certificate EUR-MED or an origin declaration EUR-MED has been issued in the country of origin,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0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may be used in the importing Contracting Party as materials in the context of cumulation for the manufacture of products for export from the importing Contracting Party to one of the other Contracting Parties referred to in Article 3, or</w:t>
                  </w:r>
                </w:p>
              </w:tc>
            </w:tr>
            <w:tr w:rsidR="00D74962">
              <w:tc>
                <w:tcPr>
                  <w:tcW w:w="46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(iii)</w:t>
                  </w:r>
                </w:p>
              </w:tc>
              <w:tc>
                <w:tcPr>
                  <w:tcW w:w="803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may be re-exported from the importing Contracting Party to one of the Contracting Parties referred to in Article 3;</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the products are exported from one of the Contracting Parties referred to in Article 3(2) to one of the Contracting Parties referred to in Article 3(2)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66"/>
              <w:gridCol w:w="8052"/>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8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cumulation was applied with materials originating in one or more of the other Contracting Parties referred to in Article 3, provided a certificate EUR-MED or an origin declaration EUR-MED has been issued in the country of origin,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811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may be used in the importing Contracting Party as materials in the context of cumulation for the manufacture of products for export from the importing Contracting Party to one of the other Contracting Parties referred to in Article 3, or</w:t>
                  </w:r>
                </w:p>
              </w:tc>
            </w:tr>
            <w:tr w:rsidR="00D74962">
              <w:tc>
                <w:tcPr>
                  <w:tcW w:w="46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(iii)</w:t>
                  </w:r>
                </w:p>
              </w:tc>
              <w:tc>
                <w:tcPr>
                  <w:tcW w:w="805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products may be re-exported from the importing Contracting Party to one of the Contracting Parties referred to in Article 3.</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4.   An origin declaration EUR-MED shall contain one of the following statements in English: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8625"/>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origin has been obtained by application of cumulation with materials originating in one or more of the Contracting Parties: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‘CUMULATION APPLIED WITH … (name of the country/countries)’</w:t>
            </w: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lastRenderedPageBreak/>
              <w:t>(b)</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if origin has been obtained without the application of cumulation with materials originating in one or more of the Contracting Parties: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‘NO CUMULATION APPLIED’</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5.   The exporter making out an origin declaration or an origin declaration EUR-MED shall be prepared to submit at any time, at the request of the customs authorities of the exporting Contracting Party, all appropriate documents proving the originating status of the products concerned as well as the fulfilment of the other requirements of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6.   An origin declaration or an origin declaration EUR-MED shall be made out by the exporter by typing, stamping or printing on the invoice, the delivery note or another commercial document, the declaration, the texts of which appear in Annexes IV a and b, using one of the linguistic versions set out in those Annexes and in accordance with the provisions of the national law of the exporting country. If the declaration is handwritten, it shall be written in ink in printed characters.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7.   Origin declarations and origin declarations EUR-MED shall bear the original signature of the exporter in manuscript. However, an approved exporter within the meaning of Article 22 shall not be required to sign such declarations provided that he gives the customs authorities of the exporting Contracting Party a written undertaking that he accepts full responsibility for any origin declaration which identifies him as if it had been signed in manuscript by him.</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8.   An origin declaration or an origin declaration EUR-MED may be made out by the exporter when the products to which it relates are exported, or after exportation on condition that it is presented in the importing country at the latest two years after the importation of the products to which it relates.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Approved exporter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1.   The customs authorities of the exporting Contracting Party may authorise any exporter (hereinafter referred to as </w:t>
      </w:r>
      <w:r>
        <w:rPr>
          <w:rFonts w:ascii="Times New Roman" w:eastAsia="Times New Roman" w:hAnsi="Times New Roman" w:cs="Times New Roman"/>
          <w:noProof/>
          <w:color w:val="444444"/>
          <w:sz w:val="24"/>
          <w:szCs w:val="24"/>
          <w:lang w:eastAsia="x-none"/>
        </w:rPr>
        <w:t>‘approved exporter’), who makes frequent shipments of products in accordance to the provisions of this Convention to make out origin declarations or origin declarations EUR-MED irrespective of the value of the products concerned. An exporter seeking such authorisation shall offer to the satisfaction of the customs authorities all guarantees necessary to verify the originating status of the products as well as the fulfilment of the other requirements of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The customs authorities may grant the status of approved exporter subject to any conditions which they consider appropriate.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The customs authorities shall grant to the approved exporter a customs authorisation number which shall appear on the origin declaration or on the origin declaration EUR-MED.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The customs authorities shall monitor the use of the authorisation by the approved exporter.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5.   The customs authorities may withdraw the authorisation at any time. They shall do so where the approved exporter no longer offers the guarantees referred to in paragraph 1, no longer fulfils the conditions referred to in paragraph 2 or otherwise makes an incorrect use of the authorisation.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Validity of proof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A proof of origin shall be valid for four months from the date of issue in the exporting Contracting Party, and shall be submitted within that period to the customs authorities of the importing Contracting Party.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2.   Proofs of origin which are submitted to the customs authorities of the importing Contracting Party after the final date for presentation specified in paragraph 1 may be accepted for the purpose of applying preferential treatment, where the failure to submit these documents by the final date set is due to exceptional circumstances.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   In other cases of belated presentation, the customs authorities of the importing Contracting Party may accept the proofs of origin where the products have been submitted before the said final date.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Submission of proof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Proofs of origin shall be submitted to the customs authorities of the importing Contracting Party in accordance with the procedures applicable in that country. The said authorities may require a translation of a proof of origin and may also require the import declaration to be accompanied by a statement from the importer to the effect that the products meet the conditions required for the implementation of the relevant Agreement.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Importation by instalments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Where, at the request of the importer and subject to the conditions laid down by the customs authorities of the importing Contracting Party, dismantled or non-assembled products within the meaning of General Rule 2(a) of the Harmonised System falling within Sections XVI and XVII or headings 7308 and 9406 of the Harmonised System are imported by instalments, a single proof of origin for such products shall be submitted to the customs authorities upon importation of the first instalment.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Exemptions from proof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Products sent as small packages from private persons to private persons or forming part of travellers</w:t>
      </w:r>
      <w:r>
        <w:rPr>
          <w:rFonts w:ascii="Times New Roman" w:eastAsia="Times New Roman" w:hAnsi="Times New Roman" w:cs="Times New Roman"/>
          <w:noProof/>
          <w:color w:val="444444"/>
          <w:sz w:val="24"/>
          <w:szCs w:val="24"/>
          <w:lang w:eastAsia="x-none"/>
        </w:rPr>
        <w:t>’ personal luggage shall be admitted as originating products without requiring the submission of a proof of origin, provided that such products are not imported by way of trade and have been declared as meeting the requirements of this Convention and where there is no doubt as to the veracity of such a declaration. In the case of products sent by post, that declaration may be made on the customs declaration CN22/CN23 or on a sheet of paper annexed to that document.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Imports which are occasional and consist solely of products for the personal use of the recipients or travellers or their families shall not be considered as imports by way of trade if it is evident from the nature and quantity of the products that no commercial purpose is in view.</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Furthermore, the total value of these products shall not exceed EUR 500 in the case of small packages or EUR 1 200 in the case of products forming part of travellers’ personal luggage.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Supporting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documents referred to in Articles 16(3) and 21(5) used for the purpose of proving that products covered by a movement certificate EUR.1 or EUR-MED or an origin declaration or origin declaration EUR-MED may be considered as products originating in a Contracting Party and fulfil the other requirements of this Convention may consist </w:t>
      </w:r>
      <w:r>
        <w:rPr>
          <w:rFonts w:ascii="Times New Roman" w:hAnsi="Times New Roman" w:cs="Times New Roman"/>
          <w:i/>
          <w:iCs/>
          <w:noProof/>
          <w:color w:val="444444"/>
          <w:sz w:val="24"/>
          <w:szCs w:val="24"/>
          <w:lang w:eastAsia="x-none"/>
        </w:rPr>
        <w:t>inter alia</w:t>
      </w:r>
      <w:r>
        <w:rPr>
          <w:rFonts w:ascii="Times New Roman" w:hAnsi="Times New Roman" w:cs="Times New Roman"/>
          <w:noProof/>
          <w:color w:val="444444"/>
          <w:sz w:val="24"/>
          <w:szCs w:val="24"/>
          <w:lang w:eastAsia="x-none"/>
        </w:rPr>
        <w:t> of the following:</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85"/>
        <w:gridCol w:w="8625"/>
      </w:tblGrid>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direct evidence of the processes carried out by the exporter or supplier to obtain the goods concerned, contained for example in his accounts or internal bookkeeping;</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(2)</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documents proving the originating status of materials used, issued or made out in the relevant Contracting Party where these documents are used in accordance with national law;</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documents proving the working or processing of materials in the relevant Contracting Party, issued or made out in the relevant Contracting Party, where these documents are used in accordance with national law;</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(4)</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movement certificates EUR.1 or EUR-MED or origin declarations or origin declarations EUR-MED proving the originating status of materials used, issued or made out in the Contracting Parties in accordance with this Convention;</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(5)</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appropriate evidence concerning working or processing undergone outside the relevant Contracting Party by application of Article 11, proving that the requirements of that Article have been satisfied.</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Preservation of proof of origin and supporting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The exporter applying for the issue of a movement certificate EUR.1 or EUR-MED shall keep for at least three years the documents referred to in Article 16(3).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The exporter making out an origin declaration or origin declaration EUR-MED shall keep for at least three years a copy of this origin declaration as well as the documents referred to in Article 21(5).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   The customs authorities of the exporting Contracting Party issuing a movement certificate EUR.1 or EUR-MED shall keep for at least three years the application form referred to in Article 16(2).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4.   The customs authorities of the importing Contracting Party shall keep for at least three years the movement certificates EUR.1 and EUR-MED and the origin declarations and origin declarations EUR-MED submitted to them.</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Discrepancies and formal errors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The discovery of slight discrepancies between the statements made in the proof of origin and those made in the documents submitted to the customs office for the purpose of carrying out the formalities for importing the products shall not </w:t>
      </w:r>
      <w:r>
        <w:rPr>
          <w:rFonts w:ascii="Times New Roman" w:hAnsi="Times New Roman" w:cs="Times New Roman"/>
          <w:i/>
          <w:iCs/>
          <w:noProof/>
          <w:color w:val="444444"/>
          <w:sz w:val="24"/>
          <w:szCs w:val="24"/>
          <w:lang w:eastAsia="x-none"/>
        </w:rPr>
        <w:t>ipso facto</w:t>
      </w:r>
      <w:r>
        <w:rPr>
          <w:rFonts w:ascii="Times New Roman" w:hAnsi="Times New Roman" w:cs="Times New Roman"/>
          <w:noProof/>
          <w:color w:val="444444"/>
          <w:sz w:val="24"/>
          <w:szCs w:val="24"/>
          <w:lang w:eastAsia="x-none"/>
        </w:rPr>
        <w:t> render the proof of origin null and void if it is duly established that this document does correspond to the products submitted.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Obvious formal errors such as typing errors on a proof of origin shall not cause this document to be rejected if these errors are not such as to create doubts concerning the correctness of the statements made in this document.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Amounts expressed in euro</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For the application of the provisions of Article 21(1)(b) and Article 26(3) in cases where products are invoiced in a currency other than euro, amounts in the national currencies of the Contracting Parties equivalent to the amounts expressed in euro shall be fixed annually by each of the countries concerned.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A consignment shall benefit from the provisions of Article 21(1)(b) or Article 26(3) by reference to the currency in which the invoice is drawn up, according to the amount fixed by the country concerned.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3.   The amounts to be used in any given national currency shall be the equivalent in that currency of the amounts expressed in euro as at the first working day of October. The amounts shall be communicated to the European Commission by 15 October and shall apply from 1 January the following year. The European Commission shall notify all countries concerned of the relevant amounts.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4.   A country may round up or down the amount resulting from the conversion into its national currency of an amount expressed in euro. The rounded-off amount may not differ from the amount resulting from the conversion by more than 5 %. A country may retain unchanged its national currency equivalent of an amount expressed in euro if, at the time of the annual adjustment provided for in paragraph 3, the conversion of that amount, prior to any rounding-off, results in an increase of less than 15 % in the national currency equivalent. The national currency equivalent may be retained unchanged if the conversion were to result in a decrease in that equivalent value.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5.   The amounts expressed in euro shall be reviewed by the Joint Committee at the request of any Contracting Party. When carrying out this review, the Joint Committee shall consider the desirability of preserving the effects of the limits concerned in real terms. For this purpose, it may decide to modify the amounts expressed in euro.</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TITLE VI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ARRANGEMENTS FOR ADMINISTRATIVE COOPERATION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Administrative cooperation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The customs authorities of the Contracting Parties shall provide each other, through the European Commission, with specimen impressions of stamps used in their customs offices for the issue of movement certificates EUR.1 and EUR-MED, and with the addresses of the customs authorities responsible for verifying those certificates, origin declarations and origin declarations EUR-MED.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In order to ensure the proper application of this Convention, the Contracting Parties shall assist each other, through the competent customs administrations, in checking the authenticity of the movement certificates EUR.1 and EUR-MED, the origin declarations and the origin declarations EUR-MED and the correctness of the information given in these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Verification of proofs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Subsequent verifications of proofs of origin shall be carried out at random or whenever the customs authorities of the importing Contracting Party have reasonable doubts as to the authenticity of such documents, the originating status of the products concerned or the fulfilment of the other requirements of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For the purposes of implementing the provisions of paragraph 1, the customs authorities of the importing Contracting Party shall return the movement certificate EUR.1 or EUR-MED and the invoice, if it has been submitted, the origin declaration or the origin declaration EUR-MED, or a copy of these documents, to the customs authorities of the exporting Contracting Party giving, where appropriate, the reasons for the request for verification. Any documents and information obtained suggesting that the information given on the proof of origin is incorrect shall be forwarded in support of the request for verification.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3.   The verification shall be carried out by the customs authorities of the exporting Contracting Party. For this purpose, they shall have the right to call for any evidence and to carry out any inspection of the exporter</w:t>
      </w:r>
      <w:r>
        <w:rPr>
          <w:rFonts w:ascii="Times New Roman" w:eastAsia="Times New Roman" w:hAnsi="Times New Roman" w:cs="Times New Roman"/>
          <w:noProof/>
          <w:color w:val="444444"/>
          <w:sz w:val="24"/>
          <w:szCs w:val="24"/>
          <w:lang w:eastAsia="x-none"/>
        </w:rPr>
        <w:t>’s accounts or any other check considered appropriate.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If the customs authorities of the importing Contracting Party decide to suspend the granting of preferential treatment to the products concerned while awaiting the results of the verification, release of the products shall be offered to the importer subject to any precautionary measures judged necessary.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5.   The customs authorities requesting the verification shall be informed of the results thereof as soon as possible. These results shall indicate clearly whether the documents are authentic and whether the products concerned may be considered as products originating in one of the Contracting Parties and fulfil the other requirements of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6.   If in cases of reasonable doubt there is no reply within ten months of the date of the verification request or if the reply does not contain sufficient information to determine the authenticity of the document in question or the real origin of the products, the requesting customs authorities shall, except in exceptional circumstances, refuse entitlement to the preferences.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Dispute settlement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Where disputes arise in relation to the verification procedures of Article 32 which cannot be settled between the customs authorities requesting a verification and the customs authorities responsible for carrying out this verification, they shall be submitted to the bilateral body established by the relevant Agreement. Where disputes other than those related to the verification procedures of Article 32 arise in relation to the interpretation of this Convention, they shall be submitted to the Joint Committee.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In all cases the settlement of disputes between the importer and the customs authorities of the importing Contracting Party shall take place under the legislation of that country.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Penalties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Penalties shall be imposed on any person who draws up, or causes to be drawn up, a document which contains incorrect information for the purpose of obtaining a preferential treatment for products.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Free zones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The Contracting Parties shall take all necessary steps to ensure that products traded under cover of a proof of origin, which in the course of transport use a free zone situated in their territory, are not substituted by other goods and do not undergo handling other than normal operations designed to prevent their deterioration.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By way of derogation from paragraph 1, when products originating in a Contracting Party are imported into a free zone under cover of a proof of origin and undergo treatment or processing, the authorities concerned shall issue a new movement certificate EUR.1 or EUR-MED at the exporter</w:t>
      </w:r>
      <w:r>
        <w:rPr>
          <w:rFonts w:ascii="Times New Roman" w:eastAsia="Times New Roman" w:hAnsi="Times New Roman" w:cs="Times New Roman"/>
          <w:noProof/>
          <w:color w:val="444444"/>
          <w:sz w:val="24"/>
          <w:szCs w:val="24"/>
          <w:lang w:eastAsia="x-none"/>
        </w:rPr>
        <w:t>’s request, if the treatment or processing undergone complies with this Convention.</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noProof/>
          <w:color w:val="444444"/>
          <w:sz w:val="19"/>
          <w:szCs w:val="19"/>
          <w:lang w:eastAsia="x-none"/>
        </w:rPr>
      </w:pPr>
      <w:hyperlink r:id="rId10" w:anchor="ntc1-L_2013054EN.01000801-E0001"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1</w:t>
        </w:r>
        <w:r w:rsidR="00935DDF">
          <w:rPr>
            <w:rStyle w:val="Hyperlink"/>
            <w:noProof/>
            <w:color w:val="800080"/>
            <w:sz w:val="19"/>
            <w:szCs w:val="19"/>
            <w:u w:val="none"/>
            <w:lang w:eastAsia="x-none"/>
          </w:rPr>
          <w:t>)</w:t>
        </w:r>
      </w:hyperlink>
      <w:r w:rsidR="00935DDF">
        <w:rPr>
          <w:noProof/>
          <w:color w:val="444444"/>
          <w:sz w:val="19"/>
          <w:szCs w:val="19"/>
          <w:lang w:eastAsia="x-none"/>
        </w:rPr>
        <w:t>  Due to the Customs Union between Liechtenstein and Switzerland, products originating in Liechtenstein are cosidered as originating in Switzerland.</w:t>
      </w: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noProof/>
          <w:color w:val="444444"/>
          <w:sz w:val="19"/>
          <w:szCs w:val="19"/>
          <w:lang w:eastAsia="x-none"/>
        </w:rPr>
      </w:pPr>
      <w:hyperlink r:id="rId11" w:anchor="ntc2-L_2013054EN.01000801-E0002"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2</w:t>
        </w:r>
        <w:r w:rsidR="00935DDF">
          <w:rPr>
            <w:rStyle w:val="Hyperlink"/>
            <w:noProof/>
            <w:color w:val="800080"/>
            <w:sz w:val="19"/>
            <w:szCs w:val="19"/>
            <w:u w:val="none"/>
            <w:lang w:eastAsia="x-none"/>
          </w:rPr>
          <w:t>)</w:t>
        </w:r>
      </w:hyperlink>
      <w:r w:rsidR="00935DDF">
        <w:rPr>
          <w:noProof/>
          <w:color w:val="444444"/>
          <w:sz w:val="19"/>
          <w:szCs w:val="19"/>
          <w:lang w:eastAsia="x-none"/>
        </w:rPr>
        <w:t>  The Principality of Liechtenstein has a customs union with Switzerland and is a Contracting Party to the Agreement on the European Economic Area..</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br w:type="page"/>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lastRenderedPageBreak/>
        <w:t>ANNEX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Introductory notes to the list in Annex II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i/>
          <w:iCs/>
          <w:noProof/>
          <w:color w:val="444444"/>
          <w:sz w:val="24"/>
          <w:szCs w:val="24"/>
          <w:lang w:eastAsia="x-none"/>
        </w:rPr>
      </w:pPr>
      <w:r>
        <w:rPr>
          <w:rFonts w:ascii="Times New Roman" w:hAnsi="Times New Roman" w:cs="Times New Roman"/>
          <w:b/>
          <w:bCs/>
          <w:i/>
          <w:iCs/>
          <w:noProof/>
          <w:color w:val="444444"/>
          <w:sz w:val="24"/>
          <w:szCs w:val="24"/>
          <w:lang w:eastAsia="x-none"/>
        </w:rPr>
        <w:t>Note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list sets out the conditions required for all products to be considered as sufficiently worked or processed within the meaning of Article 5 of this Appendix.</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i/>
          <w:iCs/>
          <w:noProof/>
          <w:color w:val="444444"/>
          <w:sz w:val="24"/>
          <w:szCs w:val="24"/>
          <w:lang w:eastAsia="x-none"/>
        </w:rPr>
      </w:pPr>
      <w:r>
        <w:rPr>
          <w:rFonts w:ascii="Times New Roman" w:hAnsi="Times New Roman" w:cs="Times New Roman"/>
          <w:b/>
          <w:bCs/>
          <w:i/>
          <w:iCs/>
          <w:noProof/>
          <w:color w:val="444444"/>
          <w:sz w:val="24"/>
          <w:szCs w:val="24"/>
          <w:lang w:eastAsia="x-none"/>
        </w:rPr>
        <w:t>Note 2:</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465"/>
        <w:gridCol w:w="8545"/>
      </w:tblGrid>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2.1.</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The first two columns in the list describe the product obtained. The first column gives the heading number or chapter number used in the Harmonised System and the second column gives the description of goods used in that system for that heading or chapter. For each entry in the first two columns, a rule is specified in column 3 or 4. Where, in some cases, the entry in the first column is preceded by an </w:t>
            </w:r>
            <w:r>
              <w:rPr>
                <w:rFonts w:ascii="Times New Roman" w:eastAsia="Times New Roman" w:hAnsi="Times New Roman" w:cs="Times New Roman"/>
                <w:noProof/>
                <w:color w:val="444444"/>
                <w:sz w:val="24"/>
                <w:szCs w:val="24"/>
                <w:lang w:eastAsia="x-none"/>
              </w:rPr>
              <w:t>’ex’, this signifies that the rules in column 3 or 4 apply only to the part of that heading as described in column 2.</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2.2.</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Where several heading numbers are grouped together in column 1 or a chapter number is given and the description of products in column 2 is therefore given in general terms, the adjacent rules in column 3 or 4 apply to all products which, under the Harmonised System, are classified in headings of the chapter or in any of the headings grouped together in column 1.</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2.3.</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Where there are different rules in the list applying to different products within a heading, each indent contains the description of that part of the heading covered by the adjacent rules in column 3 or 4.</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2.4.</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Where, for an entry in the first two columns, a rule is specified in both columns 3 and 4, the exporter may opt to apply either the rule set out in column 3 or that set out in column 4. If no origin rule is given in column 4, the rule set out in column 3 is to be applied.</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i/>
          <w:iCs/>
          <w:noProof/>
          <w:color w:val="444444"/>
          <w:sz w:val="24"/>
          <w:szCs w:val="24"/>
          <w:lang w:eastAsia="x-none"/>
        </w:rPr>
      </w:pPr>
      <w:r>
        <w:rPr>
          <w:rFonts w:ascii="Times New Roman" w:hAnsi="Times New Roman" w:cs="Times New Roman"/>
          <w:b/>
          <w:bCs/>
          <w:i/>
          <w:iCs/>
          <w:noProof/>
          <w:color w:val="444444"/>
          <w:sz w:val="24"/>
          <w:szCs w:val="24"/>
          <w:lang w:eastAsia="x-none"/>
        </w:rPr>
        <w:t>Note 3:</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465"/>
        <w:gridCol w:w="8545"/>
      </w:tblGrid>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3.1.</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provisions of Article 5 of this Appendix, concerning products having acquired originating status which are used in the manufacture of other products, shall apply regardless of whether this status has been acquired inside the factory where these products are used or in another factory in a Contracting Party.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Example: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65"/>
              <w:gridCol w:w="8259"/>
            </w:tblGrid>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825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hAnsi="Times New Roman" w:cs="Times New Roman"/>
                      <w:noProof/>
                      <w:sz w:val="24"/>
                      <w:szCs w:val="24"/>
                      <w:lang w:eastAsia="x-none"/>
                    </w:rPr>
                    <w:t xml:space="preserve">An engine of heading 8407, for which the rule states that the value of the non-originating materials which may be incorporated may not exceed 40 % of the ex-works price, is made from </w:t>
                  </w:r>
                  <w:r>
                    <w:rPr>
                      <w:rFonts w:ascii="Times New Roman" w:eastAsia="Times New Roman" w:hAnsi="Times New Roman" w:cs="Times New Roman"/>
                      <w:noProof/>
                      <w:sz w:val="24"/>
                      <w:szCs w:val="24"/>
                      <w:lang w:eastAsia="x-none"/>
                    </w:rPr>
                    <w:t>‘other alloy steel roughly shaped by forging’ of heading ex 7224.</w:t>
                  </w:r>
                </w:p>
              </w:tc>
            </w:tr>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w:t>
                  </w:r>
                </w:p>
              </w:tc>
              <w:tc>
                <w:tcPr>
                  <w:tcW w:w="825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If this forging has been forged in the European Union from a non-originating ingot, it has already acquired originating status by virtue of the rule for heading ex 7224 in the list. The forging can then count as originating in the value-calculation for the engine, regardless of whether it was produced in the same factory or in another factory in the European Union. The value of the non-originating ingot is thus not taken into account when adding up the value of the non-originating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3.2.</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The rule in the list represents the minimum amount of working or processing required, and the carrying-out of more working or processing also confers originating status; conversely, the carrying-out of less working or processing cannot confer originating </w:t>
            </w:r>
            <w:r>
              <w:rPr>
                <w:rFonts w:ascii="Times New Roman" w:hAnsi="Times New Roman" w:cs="Times New Roman"/>
                <w:noProof/>
                <w:color w:val="444444"/>
                <w:sz w:val="24"/>
                <w:szCs w:val="24"/>
                <w:lang w:eastAsia="x-none"/>
              </w:rPr>
              <w:lastRenderedPageBreak/>
              <w:t>status. Thus, if a rule provides that non-originating material, at a certain level of manufacture, may be used, the use of such material at an earlier stage of manufacture is allowed, and the use of such material at a later stage is not.</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3.3.</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Without prejudice to Note 3.2, where a rule uses the expression </w:t>
            </w:r>
            <w:r>
              <w:rPr>
                <w:rFonts w:ascii="Times New Roman" w:eastAsia="Times New Roman" w:hAnsi="Times New Roman" w:cs="Times New Roman"/>
                <w:noProof/>
                <w:color w:val="444444"/>
                <w:sz w:val="24"/>
                <w:szCs w:val="24"/>
                <w:lang w:eastAsia="x-none"/>
              </w:rPr>
              <w:t>‘Manufacture from materials of any heading’, then materials of any heading(s) (even materials of the same description and heading as the product) may be used, subject, however, to any specific limitations which may also be contained in the rule.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However, the expression ‘Manufacture from materials of any heading, including other materials of heading …’ or ‘Manufacture from materials of any heading, including other materials of the same heading as the product’ means that materials of any heading(s) may be used, except those of the same description as the product as given in column 2 of the list.</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3.4.</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When a rule in the list specifies that a product may be manufactured from more than one material, this means that one or more materials may be used. It does not require that all be used.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Example: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rule for fabrics of headings 5208 to 5212 provides that natural fibres may be used and that chemical materials, among other materials, may also be used. This does not mean that both have to be used; it is possible to use one or the other, or both.</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3.5.</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Where a rule in the list specifies that a product must be manufactured from a particular material, the condition does not prevent the use of other materials which, because of their inherent nature, cannot satisfy the rule. (See also Note 6.2 below in relation to textiles).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Example: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65"/>
              <w:gridCol w:w="8259"/>
            </w:tblGrid>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825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rule for prepared foods of heading 1904, which specifically excludes the use of cereals and their derivatives, does not prevent the use of mineral salts, chemicals and other additives which are not products from cereals.</w:t>
                  </w:r>
                </w:p>
              </w:tc>
            </w:tr>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825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However, this does not apply to products which, although they cannot be manufactured from the particular materials specified in the list, can be produced from a material of the same nature at an earlier stage of manufacture.</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Example: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In the case of an article of apparel of ex Chapter 62 made from non-woven materials, if the use of only non-originating yarn is allowed for this class of article, it is not possible to start from non-woven cloth </w:t>
            </w:r>
            <w:r>
              <w:rPr>
                <w:rFonts w:ascii="Times New Roman" w:eastAsia="Times New Roman" w:hAnsi="Times New Roman" w:cs="Times New Roman"/>
                <w:noProof/>
                <w:color w:val="444444"/>
                <w:sz w:val="24"/>
                <w:szCs w:val="24"/>
                <w:lang w:eastAsia="x-none"/>
              </w:rPr>
              <w:t>– even if non-woven cloths cannot normally be made from yarn. In such cases, the starting material would normally be at the stage before yarn – that is, the fibre stage.</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3.6.</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Where, in a rule in the list, two percentages are given for the maximum value of non-originating materials that can be used, then these percentages may not be added together. In other words, the maximum value of all the non-originating materials used may never exceed the higher of the percentages given. Furthermore, the individual percentages must not be exceeded, in relation to the particular materials to which they apply.</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i/>
          <w:iCs/>
          <w:noProof/>
          <w:color w:val="444444"/>
          <w:sz w:val="24"/>
          <w:szCs w:val="24"/>
          <w:lang w:eastAsia="x-none"/>
        </w:rPr>
      </w:pPr>
      <w:r>
        <w:rPr>
          <w:rFonts w:ascii="Times New Roman" w:hAnsi="Times New Roman" w:cs="Times New Roman"/>
          <w:b/>
          <w:bCs/>
          <w:i/>
          <w:iCs/>
          <w:noProof/>
          <w:color w:val="444444"/>
          <w:sz w:val="24"/>
          <w:szCs w:val="24"/>
          <w:lang w:eastAsia="x-none"/>
        </w:rPr>
        <w:t>Note 4:</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465"/>
        <w:gridCol w:w="8545"/>
      </w:tblGrid>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4.1.</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The term </w:t>
            </w:r>
            <w:r>
              <w:rPr>
                <w:rFonts w:ascii="Times New Roman" w:eastAsia="Times New Roman" w:hAnsi="Times New Roman" w:cs="Times New Roman"/>
                <w:noProof/>
                <w:color w:val="444444"/>
                <w:sz w:val="24"/>
                <w:szCs w:val="24"/>
                <w:lang w:eastAsia="x-none"/>
              </w:rPr>
              <w:t>‘natural fibres’ is used in the list to refer to fibres other than artificial or synthetic fibres. It is restricted to the stages before spinning takes place, including waste, and, unless otherwise specified, includes fibres which have been carded, combed or otherwise processed, but not spun.</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4.2.</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term ‘natural fibres’ includes horsehair of heading 0511, silk of headings 5002 and 5003, as well as wool fibres and fine or coarse animal hair of headings 5101 to 5105, cotton fibres of headings 5201 to 5203, and other vegetable fibres of headings 5301 to 5305.</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4.3.</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terms ‘textile pulp’, ‘chemical materials’ and ‘paper-making materials’ are used in the list to describe the materials, not classified in Chapters 50 to 63, which can be used to manufacture artificial, synthetic or paper fibres or yarns.</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4.4.</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term ‘man-made staple fibres’ is used in the list to refer to synthetic or artificial filament tow, staple fibres or waste, of headings 5501 to 5507.</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i/>
          <w:iCs/>
          <w:noProof/>
          <w:color w:val="444444"/>
          <w:sz w:val="24"/>
          <w:szCs w:val="24"/>
          <w:lang w:eastAsia="x-none"/>
        </w:rPr>
      </w:pPr>
      <w:r>
        <w:rPr>
          <w:rFonts w:ascii="Times New Roman" w:hAnsi="Times New Roman" w:cs="Times New Roman"/>
          <w:b/>
          <w:bCs/>
          <w:i/>
          <w:iCs/>
          <w:noProof/>
          <w:color w:val="444444"/>
          <w:sz w:val="24"/>
          <w:szCs w:val="24"/>
          <w:lang w:eastAsia="x-none"/>
        </w:rPr>
        <w:t>Note 5:</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465"/>
        <w:gridCol w:w="8545"/>
      </w:tblGrid>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5.1.</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Where, for a given product in the list, reference is made to this Note, the conditions set out in column 3 shall not be applied to any basic textile materials used in the manufacture of this product and which, taken together, represent 10 % or less of the total weight of all the basic textile materials used. (See also Notes 5.3 and 5.4).</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5.2.</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However, the tolerance mentioned in Note 5.1 may be applied only to mixed products which have been made from two or more basic textile materials.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following are the basic textile materials: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06"/>
              <w:gridCol w:w="14"/>
              <w:gridCol w:w="26"/>
              <w:gridCol w:w="9"/>
              <w:gridCol w:w="19"/>
              <w:gridCol w:w="21"/>
              <w:gridCol w:w="32"/>
              <w:gridCol w:w="13"/>
              <w:gridCol w:w="11"/>
              <w:gridCol w:w="29"/>
              <w:gridCol w:w="62"/>
              <w:gridCol w:w="9"/>
              <w:gridCol w:w="72"/>
              <w:gridCol w:w="52"/>
              <w:gridCol w:w="8"/>
              <w:gridCol w:w="26"/>
              <w:gridCol w:w="14"/>
              <w:gridCol w:w="16"/>
              <w:gridCol w:w="396"/>
              <w:gridCol w:w="152"/>
              <w:gridCol w:w="536"/>
              <w:gridCol w:w="103"/>
              <w:gridCol w:w="547"/>
              <w:gridCol w:w="318"/>
              <w:gridCol w:w="352"/>
              <w:gridCol w:w="103"/>
              <w:gridCol w:w="5038"/>
            </w:tblGrid>
            <w:tr w:rsidR="00D74962">
              <w:tc>
                <w:tcPr>
                  <w:tcW w:w="3391" w:type="dxa"/>
                  <w:gridSpan w:val="2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503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silk,</w:t>
                  </w:r>
                </w:p>
              </w:tc>
            </w:tr>
            <w:tr w:rsidR="00D74962">
              <w:tc>
                <w:tcPr>
                  <w:tcW w:w="2936" w:type="dxa"/>
                  <w:gridSpan w:val="2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5493"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wool,</w:t>
                  </w:r>
                </w:p>
              </w:tc>
            </w:tr>
            <w:tr w:rsidR="00D74962">
              <w:tc>
                <w:tcPr>
                  <w:tcW w:w="1280" w:type="dxa"/>
                  <w:gridSpan w:val="2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149"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coarse animal hair,</w:t>
                  </w:r>
                </w:p>
              </w:tc>
            </w:tr>
            <w:tr w:rsidR="00D74962">
              <w:tc>
                <w:tcPr>
                  <w:tcW w:w="1432" w:type="dxa"/>
                  <w:gridSpan w:val="2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6997"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fine animal hair,</w:t>
                  </w:r>
                </w:p>
              </w:tc>
            </w:tr>
            <w:tr w:rsidR="00D74962">
              <w:tc>
                <w:tcPr>
                  <w:tcW w:w="2071" w:type="dxa"/>
                  <w:gridSpan w:val="2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6358"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horsehair,</w:t>
                  </w:r>
                </w:p>
              </w:tc>
            </w:tr>
            <w:tr w:rsidR="00D74962">
              <w:tc>
                <w:tcPr>
                  <w:tcW w:w="2618" w:type="dxa"/>
                  <w:gridSpan w:val="2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5811"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cotton,</w:t>
                  </w:r>
                </w:p>
              </w:tc>
            </w:tr>
            <w:tr w:rsidR="00D74962">
              <w:tc>
                <w:tcPr>
                  <w:tcW w:w="768" w:type="dxa"/>
                  <w:gridSpan w:val="1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661" w:type="dxa"/>
                  <w:gridSpan w:val="1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paper-making materials and paper,</w:t>
                  </w:r>
                </w:p>
              </w:tc>
            </w:tr>
            <w:tr w:rsidR="00D74962">
              <w:tc>
                <w:tcPr>
                  <w:tcW w:w="3288" w:type="dxa"/>
                  <w:gridSpan w:val="2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5141"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flax,</w:t>
                  </w:r>
                </w:p>
              </w:tc>
            </w:tr>
            <w:tr w:rsidR="00D74962">
              <w:tc>
                <w:tcPr>
                  <w:tcW w:w="1968" w:type="dxa"/>
                  <w:gridSpan w:val="2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6461"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true hemp,</w:t>
                  </w:r>
                </w:p>
              </w:tc>
            </w:tr>
            <w:tr w:rsidR="00D74962">
              <w:tc>
                <w:tcPr>
                  <w:tcW w:w="820" w:type="dxa"/>
                  <w:gridSpan w:val="1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609" w:type="dxa"/>
                  <w:gridSpan w:val="1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jute and other textile bast fibres,</w:t>
                  </w:r>
                </w:p>
              </w:tc>
            </w:tr>
            <w:tr w:rsidR="00D74962">
              <w:tc>
                <w:tcPr>
                  <w:tcW w:w="57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857" w:type="dxa"/>
                  <w:gridSpan w:val="2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sisal and other textile fibres of the genus Agave,</w:t>
                  </w:r>
                </w:p>
              </w:tc>
            </w:tr>
            <w:tr w:rsidR="00D74962">
              <w:tc>
                <w:tcPr>
                  <w:tcW w:w="500"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929" w:type="dxa"/>
                  <w:gridSpan w:val="2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coconut, abaca, ramie and other vegetable textile fibres,</w:t>
                  </w:r>
                </w:p>
              </w:tc>
            </w:tr>
            <w:tr w:rsidR="00D74962">
              <w:tc>
                <w:tcPr>
                  <w:tcW w:w="854" w:type="dxa"/>
                  <w:gridSpan w:val="1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575" w:type="dxa"/>
                  <w:gridSpan w:val="1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synthetic man-made filaments,</w:t>
                  </w:r>
                </w:p>
              </w:tc>
            </w:tr>
            <w:tr w:rsidR="00D74962">
              <w:tc>
                <w:tcPr>
                  <w:tcW w:w="868" w:type="dxa"/>
                  <w:gridSpan w:val="1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561"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artificial man-made filaments,</w:t>
                  </w:r>
                </w:p>
              </w:tc>
            </w:tr>
            <w:tr w:rsidR="00D74962">
              <w:tc>
                <w:tcPr>
                  <w:tcW w:w="884" w:type="dxa"/>
                  <w:gridSpan w:val="1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545"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current-conducting filaments,</w:t>
                  </w:r>
                </w:p>
              </w:tc>
            </w:tr>
            <w:tr w:rsidR="00D74962">
              <w:tc>
                <w:tcPr>
                  <w:tcW w:w="540"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889" w:type="dxa"/>
                  <w:gridSpan w:val="2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synthetic man-made staple fibres of polypropylene,</w:t>
                  </w:r>
                </w:p>
              </w:tc>
            </w:tr>
            <w:tr w:rsidR="00D74962">
              <w:tc>
                <w:tcPr>
                  <w:tcW w:w="596"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833" w:type="dxa"/>
                  <w:gridSpan w:val="1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synthetic man-made staple fibres of polyester,</w:t>
                  </w:r>
                </w:p>
              </w:tc>
            </w:tr>
            <w:tr w:rsidR="00D74962">
              <w:tc>
                <w:tcPr>
                  <w:tcW w:w="585"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7844" w:type="dxa"/>
                  <w:gridSpan w:val="1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synthetic man-made staple fibres of polyamide,</w:t>
                  </w:r>
                </w:p>
              </w:tc>
            </w:tr>
            <w:tr w:rsidR="00D74962">
              <w:tc>
                <w:tcPr>
                  <w:tcW w:w="519"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910" w:type="dxa"/>
                  <w:gridSpan w:val="2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synthetic man-made staple fibres of polyacrylonitrile,</w:t>
                  </w:r>
                </w:p>
              </w:tc>
            </w:tr>
            <w:tr w:rsidR="00D74962">
              <w:tc>
                <w:tcPr>
                  <w:tcW w:w="585"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844" w:type="dxa"/>
                  <w:gridSpan w:val="1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synthetic man-made staple fibres of polyimide,</w:t>
                  </w:r>
                </w:p>
              </w:tc>
            </w:tr>
            <w:tr w:rsidR="00D74962">
              <w:tc>
                <w:tcPr>
                  <w:tcW w:w="46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964" w:type="dxa"/>
                  <w:gridSpan w:val="2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synthetic man-made staple fibres of polytetrafluoroethylene,</w:t>
                  </w:r>
                </w:p>
              </w:tc>
            </w:tr>
            <w:tr w:rsidR="00D74962">
              <w:tc>
                <w:tcPr>
                  <w:tcW w:w="451"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978" w:type="dxa"/>
                  <w:gridSpan w:val="2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synthetic man-made staple fibres of poly(phenylene sulphide),</w:t>
                  </w:r>
                </w:p>
              </w:tc>
            </w:tr>
            <w:tr w:rsidR="00D74962">
              <w:tc>
                <w:tcPr>
                  <w:tcW w:w="491"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938" w:type="dxa"/>
                  <w:gridSpan w:val="2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synthetic man-made staple fibres of poly(vinyl chloride),</w:t>
                  </w:r>
                </w:p>
              </w:tc>
            </w:tr>
            <w:tr w:rsidR="00D74962">
              <w:tc>
                <w:tcPr>
                  <w:tcW w:w="687" w:type="dxa"/>
                  <w:gridSpan w:val="1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742" w:type="dxa"/>
                  <w:gridSpan w:val="1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other synthetic man-made staple fibres,</w:t>
                  </w:r>
                </w:p>
              </w:tc>
            </w:tr>
            <w:tr w:rsidR="00D74962">
              <w:tc>
                <w:tcPr>
                  <w:tcW w:w="625" w:type="dxa"/>
                  <w:gridSpan w:val="1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804" w:type="dxa"/>
                  <w:gridSpan w:val="1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artificial man-made staple fibres of viscose,</w:t>
                  </w:r>
                </w:p>
              </w:tc>
            </w:tr>
            <w:tr w:rsidR="00D74962">
              <w:tc>
                <w:tcPr>
                  <w:tcW w:w="696" w:type="dxa"/>
                  <w:gridSpan w:val="1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733" w:type="dxa"/>
                  <w:gridSpan w:val="1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other artificial man-made staple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8084" w:type="dxa"/>
                  <w:gridSpan w:val="2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yarn made of polyurethane segmented with flexible segments of polyether, whether or not gimped,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8084" w:type="dxa"/>
                  <w:gridSpan w:val="2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yarn made of polyurethane segmented with flexible segments of polyester, whether or not gimped,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8084" w:type="dxa"/>
                  <w:gridSpan w:val="2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products of heading 5605 (metallised yarn) incorporating strip consisting of a core of aluminium foil or of a core of plastic film whether or not coated with aluminium powder, of a width not exceeding 5 mm, sandwiched by means of a transparent or coloured adhesive between two layers of plastic film,</w:t>
                  </w:r>
                </w:p>
              </w:tc>
            </w:tr>
            <w:tr w:rsidR="00D74962">
              <w:tc>
                <w:tcPr>
                  <w:tcW w:w="828" w:type="dxa"/>
                  <w:gridSpan w:val="1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7601" w:type="dxa"/>
                  <w:gridSpan w:val="1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other products of heading 5605.</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Example: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 yarn, of heading 5205, made from cotton fibres of heading 5203 and synthetic staple fibres of heading 5506, is a mixed yarn. Therefore, non-originating synthetic staple fibres which do not satisfy the origin-rules (which require manufacture from chemical materials or textile pulp) may be used, provided that their total weight does not exceed 10 % of the weight of the yarn.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Example: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A woollen fabric, of heading 5112, made from woollen yarn of heading 5107 and synthetic yarn of staple fibres of heading 5509, is a mixed fabric. Therefore, synthetic yarn which does not satisfy the origin-rules (which require manufacture from chemical materials or textile pulp), or woollen yarn which does not satisfy the origin-rules (which require manufacture from natural fibres, not carded or combed or otherwise prepared for spinning), or a combination of the two, may be used, provided that their total weight does not exceed 10 % of the weight of the fabric.</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Example: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Tufted textile fabric, of heading 5802, made from cotton yarn of heading 5205 and cotton fabric of heading 5210, is a only mixed product if the cotton fabric is itself a mixed fabric made from yarns classified in two separate headings, or if the cotton yarns used are themselves mixtures.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Example: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the tufted textile fabric concerned had been made from cotton yarn of heading 5205 and synthetic fabric of heading 5407, then, obviously, the yarns used are two separate basic textile materials and the tufted textile fabric is, accordingly, a mixed product.</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5.3.</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In the case of products incorporating </w:t>
            </w:r>
            <w:r>
              <w:rPr>
                <w:rFonts w:ascii="Times New Roman" w:eastAsia="Times New Roman" w:hAnsi="Times New Roman" w:cs="Times New Roman"/>
                <w:noProof/>
                <w:color w:val="444444"/>
                <w:sz w:val="24"/>
                <w:szCs w:val="24"/>
                <w:lang w:eastAsia="x-none"/>
              </w:rPr>
              <w:t>‘yarn made of polyurethane segmented with flexible segments of polyether, whether or not gimped’, this tolerance is 20 % in respect of this yarn.</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5.4.</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In the case of products incorporating ‘strip consisting of a core of aluminium foil or of a core of plastic film whether or not coated with aluminium powder, of a width not exceeding 5 mm, sandwiched by means of a transparent or coloured adhesive between two layers of plastic film’, this tolerance is 30 % in respect of this strip.</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i/>
          <w:iCs/>
          <w:noProof/>
          <w:color w:val="444444"/>
          <w:sz w:val="24"/>
          <w:szCs w:val="24"/>
          <w:lang w:eastAsia="x-none"/>
        </w:rPr>
      </w:pPr>
      <w:r>
        <w:rPr>
          <w:rFonts w:ascii="Times New Roman" w:hAnsi="Times New Roman" w:cs="Times New Roman"/>
          <w:b/>
          <w:bCs/>
          <w:i/>
          <w:iCs/>
          <w:noProof/>
          <w:color w:val="444444"/>
          <w:sz w:val="24"/>
          <w:szCs w:val="24"/>
          <w:lang w:eastAsia="x-none"/>
        </w:rPr>
        <w:t>Note 6:</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465"/>
        <w:gridCol w:w="8545"/>
      </w:tblGrid>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6.1.</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Where, in the list, reference is made to this Note, textile materials (with the exception of linings and interlinings), which do not satisfy the rule set out in the list in column 3 for the made-up product concerned, may be used, provided that they are classified in a heading other than that of the product and that their value does not exceed 8 % of the ex-works price of the product.</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6.2.</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Without prejudice to Note 6.3, materials, which are not classified within Chapters 50 to 63, may be used freely in the manufacture of textile products, whether or not they contain textiles.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Example: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If a rule in the list provides that, for a particular textile item (such as trousers), yarn must be used, this does not prevent the use of metal items, such as buttons, because buttons are not classified within Chapters 50 to 63. For the same reason, it does not prevent the use of slide-fasteners, even though slide-fasteners normally contain textiles.</w:t>
            </w: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6.3.</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Where a percentage rule applies, the value of materials which are not classified within Chapters 50 to 63 must be taken into account when calculating the value of the non-originating materials incorporated.</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i/>
          <w:iCs/>
          <w:noProof/>
          <w:color w:val="444444"/>
          <w:sz w:val="24"/>
          <w:szCs w:val="24"/>
          <w:lang w:eastAsia="x-none"/>
        </w:rPr>
      </w:pPr>
      <w:r>
        <w:rPr>
          <w:rFonts w:ascii="Times New Roman" w:hAnsi="Times New Roman" w:cs="Times New Roman"/>
          <w:b/>
          <w:bCs/>
          <w:i/>
          <w:iCs/>
          <w:noProof/>
          <w:color w:val="444444"/>
          <w:sz w:val="24"/>
          <w:szCs w:val="24"/>
          <w:lang w:eastAsia="x-none"/>
        </w:rPr>
        <w:t>Note 7:</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465"/>
        <w:gridCol w:w="8545"/>
      </w:tblGrid>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7.1.</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For the purposes of headings ex 2707, 2713 to 2715, ex 2901, ex 2902 and ex 3403, the </w:t>
            </w:r>
            <w:r>
              <w:rPr>
                <w:rFonts w:ascii="Times New Roman" w:eastAsia="Times New Roman" w:hAnsi="Times New Roman" w:cs="Times New Roman"/>
                <w:noProof/>
                <w:color w:val="444444"/>
                <w:sz w:val="24"/>
                <w:szCs w:val="24"/>
                <w:lang w:eastAsia="x-none"/>
              </w:rPr>
              <w:t>‘specific processes’ are the following:</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222"/>
              <w:gridCol w:w="132"/>
              <w:gridCol w:w="601"/>
              <w:gridCol w:w="262"/>
              <w:gridCol w:w="62"/>
              <w:gridCol w:w="514"/>
              <w:gridCol w:w="149"/>
              <w:gridCol w:w="6137"/>
            </w:tblGrid>
            <w:tr w:rsidR="00D74962">
              <w:tc>
                <w:tcPr>
                  <w:tcW w:w="1300"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w:t>
                  </w:r>
                </w:p>
              </w:tc>
              <w:tc>
                <w:tcPr>
                  <w:tcW w:w="7124"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vacuum-distillation;</w:t>
                  </w:r>
                </w:p>
              </w:tc>
            </w:tr>
            <w:tr w:rsidR="00D74962">
              <w:tc>
                <w:tcPr>
                  <w:tcW w:w="567"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(b)</w:t>
                  </w:r>
                </w:p>
              </w:tc>
              <w:tc>
                <w:tcPr>
                  <w:tcW w:w="7857"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redistillation by a very thorough fractionation process;</w:t>
                  </w:r>
                </w:p>
              </w:tc>
            </w:tr>
            <w:tr w:rsidR="00D74962">
              <w:tc>
                <w:tcPr>
                  <w:tcW w:w="228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(c)</w:t>
                  </w:r>
                </w:p>
              </w:tc>
              <w:tc>
                <w:tcPr>
                  <w:tcW w:w="613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cracking;</w:t>
                  </w:r>
                </w:p>
              </w:tc>
            </w:tr>
            <w:tr w:rsidR="00D74962">
              <w:tc>
                <w:tcPr>
                  <w:tcW w:w="2138"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(d)</w:t>
                  </w:r>
                </w:p>
              </w:tc>
              <w:tc>
                <w:tcPr>
                  <w:tcW w:w="628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reforming;</w:t>
                  </w:r>
                </w:p>
              </w:tc>
            </w:tr>
            <w:tr w:rsidR="00D74962">
              <w:tc>
                <w:tcPr>
                  <w:tcW w:w="699"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(e)</w:t>
                  </w:r>
                </w:p>
              </w:tc>
              <w:tc>
                <w:tcPr>
                  <w:tcW w:w="7725"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extraction by means of selective solvents;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(f)</w:t>
                  </w:r>
                </w:p>
              </w:tc>
              <w:tc>
                <w:tcPr>
                  <w:tcW w:w="8079"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process comprising all of the following operations: processing with concentrated sulphuric acid, oleum or sulphuric anhydride; neutralisation with alkaline agents; decolourisation and purification with naturally active earth, activated earth, activated charcoal or bauxite;</w:t>
                  </w:r>
                </w:p>
              </w:tc>
            </w:tr>
            <w:tr w:rsidR="00D74962">
              <w:tc>
                <w:tcPr>
                  <w:tcW w:w="162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(g)</w:t>
                  </w:r>
                </w:p>
              </w:tc>
              <w:tc>
                <w:tcPr>
                  <w:tcW w:w="6800"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polymerisation;</w:t>
                  </w:r>
                </w:p>
              </w:tc>
            </w:tr>
            <w:tr w:rsidR="00D74962">
              <w:tc>
                <w:tcPr>
                  <w:tcW w:w="2138"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(h)</w:t>
                  </w:r>
                </w:p>
              </w:tc>
              <w:tc>
                <w:tcPr>
                  <w:tcW w:w="628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alkylation;</w:t>
                  </w:r>
                </w:p>
              </w:tc>
            </w:tr>
            <w:tr w:rsidR="00D74962">
              <w:tc>
                <w:tcPr>
                  <w:tcW w:w="1562"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686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isomerisation.</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7.2.</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For the purposes of headings 2710, 2711 and 2712, the </w:t>
            </w:r>
            <w:r>
              <w:rPr>
                <w:rFonts w:ascii="Times New Roman" w:eastAsia="Times New Roman" w:hAnsi="Times New Roman" w:cs="Times New Roman"/>
                <w:noProof/>
                <w:color w:val="444444"/>
                <w:sz w:val="24"/>
                <w:szCs w:val="24"/>
                <w:lang w:eastAsia="x-none"/>
              </w:rPr>
              <w:t>‘specific processes’ are the following:</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13"/>
              <w:gridCol w:w="40"/>
              <w:gridCol w:w="67"/>
              <w:gridCol w:w="115"/>
              <w:gridCol w:w="132"/>
              <w:gridCol w:w="601"/>
              <w:gridCol w:w="256"/>
              <w:gridCol w:w="68"/>
              <w:gridCol w:w="514"/>
              <w:gridCol w:w="149"/>
              <w:gridCol w:w="6137"/>
            </w:tblGrid>
            <w:tr w:rsidR="00D74962">
              <w:tc>
                <w:tcPr>
                  <w:tcW w:w="1300"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w:t>
                  </w:r>
                </w:p>
              </w:tc>
              <w:tc>
                <w:tcPr>
                  <w:tcW w:w="7124"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vacuum-distillation;</w:t>
                  </w:r>
                </w:p>
              </w:tc>
            </w:tr>
            <w:tr w:rsidR="00D74962">
              <w:tc>
                <w:tcPr>
                  <w:tcW w:w="567"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(b)</w:t>
                  </w:r>
                </w:p>
              </w:tc>
              <w:tc>
                <w:tcPr>
                  <w:tcW w:w="7857"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redistillation by a very thorough fractionation process;</w:t>
                  </w:r>
                </w:p>
              </w:tc>
            </w:tr>
            <w:tr w:rsidR="00D74962">
              <w:tc>
                <w:tcPr>
                  <w:tcW w:w="2287" w:type="dxa"/>
                  <w:gridSpan w:val="1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(c)</w:t>
                  </w:r>
                </w:p>
              </w:tc>
              <w:tc>
                <w:tcPr>
                  <w:tcW w:w="613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cracking;</w:t>
                  </w:r>
                </w:p>
              </w:tc>
            </w:tr>
            <w:tr w:rsidR="00D74962">
              <w:tc>
                <w:tcPr>
                  <w:tcW w:w="2138"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(d)</w:t>
                  </w:r>
                </w:p>
              </w:tc>
              <w:tc>
                <w:tcPr>
                  <w:tcW w:w="628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reforming;</w:t>
                  </w:r>
                </w:p>
              </w:tc>
            </w:tr>
            <w:tr w:rsidR="00D74962">
              <w:tc>
                <w:tcPr>
                  <w:tcW w:w="699"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(e)</w:t>
                  </w:r>
                </w:p>
              </w:tc>
              <w:tc>
                <w:tcPr>
                  <w:tcW w:w="7725"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extraction by means of selective solvents;</w:t>
                  </w:r>
                </w:p>
              </w:tc>
            </w:tr>
            <w:tr w:rsidR="00D74962">
              <w:tc>
                <w:tcPr>
                  <w:tcW w:w="34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(f)</w:t>
                  </w:r>
                </w:p>
              </w:tc>
              <w:tc>
                <w:tcPr>
                  <w:tcW w:w="8079"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process comprising all of the following operations: processing with concentrated sulphuric acid, oleum or sulphuric anhydride; neutralisation with alkaline agents; decolourisation and purification with naturally active earth, activated earth, activated charcoal or bauxite;</w:t>
                  </w:r>
                </w:p>
              </w:tc>
            </w:tr>
            <w:tr w:rsidR="00D74962">
              <w:tc>
                <w:tcPr>
                  <w:tcW w:w="1624"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(g)</w:t>
                  </w:r>
                </w:p>
              </w:tc>
              <w:tc>
                <w:tcPr>
                  <w:tcW w:w="6800"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polymerisation;</w:t>
                  </w:r>
                </w:p>
              </w:tc>
            </w:tr>
            <w:tr w:rsidR="00D74962">
              <w:tc>
                <w:tcPr>
                  <w:tcW w:w="2138"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(h)</w:t>
                  </w:r>
                </w:p>
              </w:tc>
              <w:tc>
                <w:tcPr>
                  <w:tcW w:w="628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alkylation;</w:t>
                  </w:r>
                </w:p>
              </w:tc>
            </w:tr>
            <w:tr w:rsidR="00D74962">
              <w:tc>
                <w:tcPr>
                  <w:tcW w:w="155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686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isomerisation;</w:t>
                  </w:r>
                </w:p>
              </w:tc>
            </w:tr>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(j)</w:t>
                  </w:r>
                </w:p>
              </w:tc>
              <w:tc>
                <w:tcPr>
                  <w:tcW w:w="8092" w:type="dxa"/>
                  <w:gridSpan w:val="1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in respect of heavy oils of heading ex 2710 only, desulphurisation with hydrogen, resulting in a reduction of at least 85 % of the sulphur content of the products processed (ASTM D 1266-59 T method);</w:t>
                  </w:r>
                </w:p>
              </w:tc>
            </w:tr>
            <w:tr w:rsidR="00D74962">
              <w:tc>
                <w:tcPr>
                  <w:tcW w:w="38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(k)</w:t>
                  </w:r>
                </w:p>
              </w:tc>
              <w:tc>
                <w:tcPr>
                  <w:tcW w:w="8039"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in respect of products of heading 2710 only, deparaffining by a process other than filtering;</w:t>
                  </w:r>
                </w:p>
              </w:tc>
            </w:tr>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(l)</w:t>
                  </w:r>
                </w:p>
              </w:tc>
              <w:tc>
                <w:tcPr>
                  <w:tcW w:w="8092" w:type="dxa"/>
                  <w:gridSpan w:val="1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hAnsi="Times New Roman" w:cs="Times New Roman"/>
                      <w:noProof/>
                      <w:sz w:val="24"/>
                      <w:szCs w:val="24"/>
                      <w:lang w:eastAsia="x-none"/>
                    </w:rPr>
                    <w:t>in respect of heavy oils of heading ex 2710 only, treatment with hydrogen, at a pressure of more than 20 bar and a temperature of more than 250 </w:t>
                  </w:r>
                  <w:r>
                    <w:rPr>
                      <w:rFonts w:ascii="Times New Roman" w:eastAsia="Times New Roman" w:hAnsi="Times New Roman" w:cs="Times New Roman"/>
                      <w:noProof/>
                      <w:sz w:val="24"/>
                      <w:szCs w:val="24"/>
                      <w:lang w:eastAsia="x-none"/>
                    </w:rPr>
                    <w:t>°C, with the use of a catalyst, other than to effect desulphurisation, when the hydrogen constitutes an active element in a chemical reaction. The further treatment, with hydrogen, of lubricating oils of heading ex 2710 (e.g. hydrofinishing or decolourisation), in order, more especially, to improve colour or stability shall not, however, be deemed to be a specific process;</w:t>
                  </w:r>
                </w:p>
              </w:tc>
            </w:tr>
            <w:tr w:rsidR="00D74962">
              <w:tc>
                <w:tcPr>
                  <w:tcW w:w="45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w:t>
                  </w:r>
                </w:p>
              </w:tc>
              <w:tc>
                <w:tcPr>
                  <w:tcW w:w="797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respect of fuel oils of heading ex 2710 only, atmospheric distillation, on condition that less than 30 % of these products distils, by volume, including losses, at 300 °C, by the ASTM D 86 method;</w:t>
                  </w:r>
                </w:p>
              </w:tc>
            </w:tr>
            <w:tr w:rsidR="00D74962">
              <w:tc>
                <w:tcPr>
                  <w:tcW w:w="38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w:t>
                  </w:r>
                </w:p>
              </w:tc>
              <w:tc>
                <w:tcPr>
                  <w:tcW w:w="8039"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respect of heavy oils other than gas oils and fuel oils of heading ex 2710 only, treatment by means of a high-frequency electrical brush discharge;</w:t>
                  </w:r>
                </w:p>
              </w:tc>
            </w:tr>
            <w:tr w:rsidR="00D74962">
              <w:tc>
                <w:tcPr>
                  <w:tcW w:w="38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(o)</w:t>
                  </w:r>
                </w:p>
              </w:tc>
              <w:tc>
                <w:tcPr>
                  <w:tcW w:w="8039"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respect of crude products (other than petroleum jelly, ozokerite, lignite wax or peat wax, paraffin wax containing by weight less than 0.75 % of oil) of heading ex 2712 only, de-oiling by fractional crystallisation.</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r>
      <w:tr w:rsidR="00D74962">
        <w:tc>
          <w:tcPr>
            <w:tcW w:w="4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7.3.</w:t>
            </w:r>
          </w:p>
        </w:tc>
        <w:tc>
          <w:tcPr>
            <w:tcW w:w="85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purposes of headings ex 2707, 2713 to 2715, ex 2901, ex 2902 and ex 3403, simple operations, such as cleaning, decanting, desalting, water separation, filtering, colouring, marking, obtaining a sulphur content as a result of mixing products with different sulphur contents, or any combination of these operations or like operations, do not confer origin.</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lastRenderedPageBreak/>
        <w:br w:type="page"/>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II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noProof/>
          <w:color w:val="444444"/>
          <w:sz w:val="24"/>
          <w:szCs w:val="24"/>
          <w:lang w:eastAsia="x-none"/>
        </w:rPr>
      </w:pPr>
      <w:r>
        <w:rPr>
          <w:rFonts w:ascii="Times New Roman" w:hAnsi="Times New Roman" w:cs="Times New Roman"/>
          <w:b/>
          <w:bCs/>
          <w:noProof/>
          <w:color w:val="444444"/>
          <w:sz w:val="24"/>
          <w:szCs w:val="24"/>
          <w:lang w:eastAsia="x-none"/>
        </w:rPr>
        <w:t>List of working or processing required to be carried out on non-originating materials in order for the product manufactured to obtain originating status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311"/>
        <w:gridCol w:w="2408"/>
        <w:gridCol w:w="3958"/>
        <w:gridCol w:w="16"/>
        <w:gridCol w:w="7"/>
        <w:gridCol w:w="11"/>
        <w:gridCol w:w="11"/>
        <w:gridCol w:w="11"/>
        <w:gridCol w:w="11"/>
        <w:gridCol w:w="11"/>
        <w:gridCol w:w="22"/>
        <w:gridCol w:w="1243"/>
      </w:tblGrid>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color w:val="444444"/>
                <w:lang w:eastAsia="x-none"/>
              </w:rPr>
            </w:pPr>
            <w:r>
              <w:rPr>
                <w:rFonts w:ascii="Times New Roman" w:hAnsi="Times New Roman" w:cs="Times New Roman"/>
                <w:b/>
                <w:bCs/>
                <w:noProof/>
                <w:color w:val="444444"/>
                <w:lang w:eastAsia="x-none"/>
              </w:rPr>
              <w:t>HS heading</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color w:val="444444"/>
                <w:lang w:eastAsia="x-none"/>
              </w:rPr>
            </w:pPr>
            <w:r>
              <w:rPr>
                <w:rFonts w:ascii="Times New Roman" w:hAnsi="Times New Roman" w:cs="Times New Roman"/>
                <w:b/>
                <w:bCs/>
                <w:noProof/>
                <w:color w:val="444444"/>
                <w:lang w:eastAsia="x-none"/>
              </w:rPr>
              <w:t>Description of product</w:t>
            </w:r>
          </w:p>
        </w:tc>
        <w:tc>
          <w:tcPr>
            <w:tcW w:w="5296"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color w:val="444444"/>
                <w:lang w:eastAsia="x-none"/>
              </w:rPr>
            </w:pPr>
            <w:r>
              <w:rPr>
                <w:rFonts w:ascii="Times New Roman" w:hAnsi="Times New Roman" w:cs="Times New Roman"/>
                <w:b/>
                <w:bCs/>
                <w:noProof/>
                <w:color w:val="444444"/>
                <w:lang w:eastAsia="x-none"/>
              </w:rPr>
              <w:t>Working or processing, carried out on non-originating materials, which confers originating status</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color w:val="444444"/>
                <w:lang w:eastAsia="x-none"/>
              </w:rPr>
            </w:pPr>
            <w:r>
              <w:rPr>
                <w:rFonts w:ascii="Times New Roman" w:hAnsi="Times New Roman" w:cs="Times New Roman"/>
                <w:b/>
                <w:bCs/>
                <w:noProof/>
                <w:color w:val="444444"/>
                <w:lang w:eastAsia="x-none"/>
              </w:rPr>
              <w:t>(1)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color w:val="444444"/>
                <w:lang w:eastAsia="x-none"/>
              </w:rPr>
            </w:pPr>
            <w:r>
              <w:rPr>
                <w:rFonts w:ascii="Times New Roman" w:hAnsi="Times New Roman" w:cs="Times New Roman"/>
                <w:b/>
                <w:bCs/>
                <w:noProof/>
                <w:color w:val="444444"/>
                <w:lang w:eastAsia="x-none"/>
              </w:rPr>
              <w:t>(2)</w:t>
            </w:r>
          </w:p>
        </w:tc>
        <w:tc>
          <w:tcPr>
            <w:tcW w:w="5296"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color w:val="444444"/>
                <w:lang w:eastAsia="x-none"/>
              </w:rPr>
            </w:pPr>
            <w:r>
              <w:rPr>
                <w:rFonts w:ascii="Times New Roman" w:hAnsi="Times New Roman" w:cs="Times New Roman"/>
                <w:b/>
                <w:bCs/>
                <w:noProof/>
                <w:color w:val="444444"/>
                <w:lang w:eastAsia="x-none"/>
              </w:rPr>
              <w:t>(3) or (4)</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Live animals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All the animals of Chapter 1 shall be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Meat and edible meat offal</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all the materials of Chapters 1 and 2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Fish and crustaceans, molluscs and other aquatic invertebrates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all the materials of Chapter 3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Dairy produce; birds</w:t>
            </w:r>
            <w:r>
              <w:rPr>
                <w:rFonts w:ascii="Times New Roman" w:eastAsia="Times New Roman" w:hAnsi="Times New Roman" w:cs="Times New Roman"/>
                <w:noProof/>
                <w:color w:val="444444"/>
                <w:lang w:eastAsia="x-none"/>
              </w:rPr>
              <w:t>’ eggs; natural honey; edible products of animal origin, not elsewhere specified or included;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all the materials of Chapter 4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0403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Buttermilk, curdled milk and cream, yoghurt, kephir and other fermented or acidified milk and cream, whether or not concentrated or containing added sugar or other sweetening matter or flavoured or containing added fruit, nuts or cocoa</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all the materials of Chapter 4 used are wholly obtained,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all the fruit juice (except that of pineapple, lime or grapefruit) of heading 2009 used is originating,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of Chapter 17 used does not exceed 30 %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Products of animal origin, not elsewhere specified or included;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all the materials of Chapter 5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ex0502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Prepared pigs</w:t>
            </w:r>
            <w:r>
              <w:rPr>
                <w:rFonts w:ascii="Times New Roman" w:eastAsia="Times New Roman" w:hAnsi="Times New Roman" w:cs="Times New Roman"/>
                <w:noProof/>
                <w:color w:val="444444"/>
                <w:lang w:eastAsia="x-none"/>
              </w:rPr>
              <w:t>’, hogs’ or boars’ bristles and hair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Cleaning, disinfecting, sorting and straightening of bristles and hair</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Live trees and other plants; bulbs, roots and the like; cut flowers and ornamental foliage</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all the materials of Chapter 6 used are wholly obtained,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Edible vegetables and certain roots and tubers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all the materials of Chapter 7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Edible fruit and nuts; peel of citrus fruits or melons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all the fruit and nuts used are wholly obtained,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of Chapter 17 used does not exceed 30 % of the value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Coffee, tea, mat</w:t>
            </w:r>
            <w:r>
              <w:rPr>
                <w:rFonts w:ascii="Times New Roman" w:eastAsia="Times New Roman" w:hAnsi="Times New Roman" w:cs="Times New Roman"/>
                <w:noProof/>
                <w:color w:val="444444"/>
                <w:lang w:eastAsia="x-none"/>
              </w:rPr>
              <w:t>é and spices;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all the materials of Chapter 9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0901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Coffee, whether or not roasted or decaffeinated; coffee husks and skins; coffee substitutes containing coffee in any proportion</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0902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Tea, whether or not flavoured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ex0910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Mixtures of spices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10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Cereals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all the materials of Chapter 10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11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Products of the milling industry; malt; starches; inulin; wheat gluten;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all the cereals, edible vegetables, roots and tubers of heading 0714 or fruit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ex1106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Flour, meal and powder of the dried, shelled leguminous vegetables of heading 0713</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Drying and milling of leguminous vegetables of heading 0708</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12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Oil seeds and oleaginous fruits; miscellaneous grains, seeds and fruit; industrial or medicinal plants; straw and fodder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all the materials of Chapter 12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1301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Lac; natural gums, resins, gum-resins and oleoresins (for example, balsams)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of heading 1301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1302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Vegetable saps and extracts; pectic substances, pectinates and pectates; agar-agar and other mucilages and thickeners, whether or not modified, derived from vegetable products: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Mucilages and thickeners, modified, derived from vegetable products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non-modified mucilages and thickeners</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50 %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14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Vegetable plaiting materials; vegetable products not elsewhere specified or included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all the materials of Chapter 14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15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Animal or vegetable fats and oils and their cleavage products; prepared edible fats; animal or vegetable waxes;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1501</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Pig fat (including lard) and poultry fat, other than that of heading 0209 or 1503:</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Fats from bones or waste</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those of heading 0203, 0206 or 0207 or bones of heading 0506</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meat or edible offal of swine of heading 0203 or 0206 or of meat and edible offal of poultry of heading 0207</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1502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Fats of bovine animals, sheep or goats, other than those of heading 1503</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Fats from bones or waste</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those of heading 0201, 0202, 0204 or 0206 or bones of heading 0506</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all the materials of Chapter 2 used are wholly obtained</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1504</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17"/>
              <w:gridCol w:w="3960"/>
              <w:gridCol w:w="1322"/>
            </w:tblGrid>
            <w:tr w:rsidR="00D74962">
              <w:tc>
                <w:tcPr>
                  <w:tcW w:w="241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Fats and oils and their fractions, of fish or marine mammals, whether or not refined, but not chemically modified:</w:t>
                  </w:r>
                </w:p>
              </w:tc>
              <w:tc>
                <w:tcPr>
                  <w:tcW w:w="396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1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Solid fractions</w:t>
                  </w:r>
                </w:p>
              </w:tc>
              <w:tc>
                <w:tcPr>
                  <w:tcW w:w="396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including other materials of heading 1504</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1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6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all the materials of Chapters 2 and 3 used are wholly obtained</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ex1505</w:t>
            </w:r>
          </w:p>
        </w:tc>
        <w:tc>
          <w:tcPr>
            <w:tcW w:w="24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Refined lanolin</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crude wool grease of heading 1505</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1506</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25"/>
              <w:gridCol w:w="3952"/>
              <w:gridCol w:w="1322"/>
            </w:tblGrid>
            <w:tr w:rsidR="00D74962">
              <w:tc>
                <w:tcPr>
                  <w:tcW w:w="24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animal fats and oils and their fractions, whether or not refined, but not chemically modified:</w:t>
                  </w:r>
                </w:p>
              </w:tc>
              <w:tc>
                <w:tcPr>
                  <w:tcW w:w="395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Solid fractions</w:t>
                  </w:r>
                </w:p>
              </w:tc>
              <w:tc>
                <w:tcPr>
                  <w:tcW w:w="395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including other materials of heading 1506</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5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all the materials of Chapter 2 used are wholly obtained</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1507 to 1515</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Vegetable oils and their fractions: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Soya, ground nut, palm, copra, palm kernel, babassu, tung and oiticica oil, myrtle wax and Japan wax, fractions of jojoba oil and oils for technical or industrial uses other than the manufacture of foodstuffs for human consumption</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Solid fractions, except for that of jojoba oil</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other materials of headings 1507 to 1515</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all the vegetable materials used are wholly obtained</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1516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Animal or vegetable fats and oils and their fractions, partly or wholly </w:t>
            </w:r>
            <w:r>
              <w:rPr>
                <w:rFonts w:ascii="Times New Roman" w:hAnsi="Times New Roman" w:cs="Times New Roman"/>
                <w:noProof/>
                <w:color w:val="444444"/>
                <w:lang w:eastAsia="x-none"/>
              </w:rPr>
              <w:lastRenderedPageBreak/>
              <w:t>hydrogenated, inter-esterified, re-esterified or elaidinised, whether or not refined, but not further prepared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all the materials of Chapter 2 used are wholly obtained,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all the vegetable materials used are wholly obtained. However, materials of headings 1507, 1508, 1511 and 1513 may be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1517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Margarine; edible mixtures or preparations of animal or vegetable fats or oils or of fractions of different fats or oils of this Chapter, other than edible fats or oils or their fractions of heading 1516</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all the materials of Chapters 2 and 4 used are wholly obtained,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all the vegetable materials used are wholly obtained. However, materials of headings 1507, 1508, 1511 and 1513 may be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16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Preparations of meat, of fish or of crustaceans, molluscs or other aquatic invertebrates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3"/>
              <w:gridCol w:w="3495"/>
            </w:tblGrid>
            <w:tr w:rsidR="00D74962">
              <w:tc>
                <w:tcPr>
                  <w:tcW w:w="35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animals of Chapter 1, and/or</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all the materials of Chapter 3 used are wholly obtained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17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Sugars and sugar confectionery;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ex1701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Cane or beet sugar and chemically pure sucrose, in solid form, containing added flavouring or colouring matter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of Chapter 17 used does not exceed 30 %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1702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sugars, including chemically pure lactose, maltose, glucose and fructose, in solid form; sugar syrups not containing added flavouring or colouring matter; artificial honey, whether or not mixed with natural honey; caramel:</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Chemically-pure maltose and fructose</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including other materials of heading 1702</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xml:space="preserve">– Other sugars in solid form, containing added </w:t>
                  </w:r>
                  <w:r>
                    <w:rPr>
                      <w:rFonts w:ascii="Times New Roman" w:eastAsia="Times New Roman" w:hAnsi="Times New Roman" w:cs="Times New Roman"/>
                      <w:noProof/>
                      <w:color w:val="444444"/>
                      <w:lang w:eastAsia="x-none"/>
                    </w:rPr>
                    <w:lastRenderedPageBreak/>
                    <w:t>flavouring or colouring matter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xml:space="preserve">Manufacture in which the value of all the materials of Chapter 17 used does not </w:t>
                  </w:r>
                  <w:r>
                    <w:rPr>
                      <w:rFonts w:ascii="Times New Roman" w:eastAsia="Times New Roman" w:hAnsi="Times New Roman" w:cs="Times New Roman"/>
                      <w:noProof/>
                      <w:color w:val="444444"/>
                      <w:lang w:eastAsia="x-none"/>
                    </w:rPr>
                    <w:lastRenderedPageBreak/>
                    <w:t>exceed 30 %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all the materials used are originating</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ex1703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Molasses resulting from the extraction or refining of sugar, containing added flavouring or colouring matter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of Chapter 17 used does not exceed 30 %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1704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Sugar confectionery (including white chocolate), not containing cocoa</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of Chapter 17 used does not exceed 30 %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18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Cocoa and cocoa preparations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of Chapter 17 used does not exceed 30 %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1901</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Malt extract; food preparations of flour, groats, meal, starch or malt extract, not containing cocoa or containing less than 40 % by weight of cocoa calculated on a totally defatted basis, not elsewhere specified or included; food preparations of goods of headings 0401 to 0404, not containing cocoa or containing less than 5 % by weight of cocoa calculated on a totally defatted basis, not elsewhere specified or included: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Malt extract</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cereals of Chapter 10</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of Chapter 17 used does not exceed 30 %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1902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Pasta, whether or not cooked or stuffed (with meat or other substances) or otherwise prepared, such as spaghetti, macaroni, noodles, lasagne, gnocchi, ravioli, cannelloni; couscous, whether or not prepared: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Containing 20 % or less by weight of meat, meat offal, fish, crustaceans or molluscs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all the cereals and derivatives (except durum wheat and its derivatives) used are wholly obtained</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Containing more than 20 % by weight of meat, meat offal, fish, crustaceans or molluscs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all the cereals and their derivatives (except durum wheat and its derivatives) used are wholly obtained,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all the materials of Chapters 2 and 3 used are wholly obtained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1903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Tapioca and substitutes therefor prepared from starch, in the form of flakes, grains, pearls, siftings or similar forms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potato starch of heading 1108</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1904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Prepared foods obtained by the swelling or roasting of cereals or cereal products (for example, corn flakes); cereals (other than maize (corn)) in grain form or in the form of flakes or other worked grains (except flour, groats and </w:t>
            </w:r>
            <w:r>
              <w:rPr>
                <w:rFonts w:ascii="Times New Roman" w:hAnsi="Times New Roman" w:cs="Times New Roman"/>
                <w:noProof/>
                <w:color w:val="444444"/>
                <w:lang w:eastAsia="x-none"/>
              </w:rPr>
              <w:lastRenderedPageBreak/>
              <w:t>meal), pre-cooked or otherwise prepared, not elsewhere specified or included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those of heading 1806,</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all the cereals and flour (except durum wheat and </w:t>
                  </w:r>
                  <w:r>
                    <w:rPr>
                      <w:rFonts w:ascii="Times New Roman" w:hAnsi="Times New Roman" w:cs="Times New Roman"/>
                      <w:i/>
                      <w:iCs/>
                      <w:noProof/>
                      <w:sz w:val="24"/>
                      <w:szCs w:val="24"/>
                      <w:lang w:eastAsia="x-none"/>
                    </w:rPr>
                    <w:t>Zea indurata</w:t>
                  </w:r>
                  <w:r>
                    <w:rPr>
                      <w:rFonts w:ascii="Times New Roman" w:hAnsi="Times New Roman" w:cs="Times New Roman"/>
                      <w:noProof/>
                      <w:sz w:val="24"/>
                      <w:szCs w:val="24"/>
                      <w:lang w:eastAsia="x-none"/>
                    </w:rPr>
                    <w:t> maize, and their derivatives) used are wholly obtained,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of Chapter 17 used does not exceed 30 %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1905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Bread, pastry, cakes, biscuits and other bakers</w:t>
            </w:r>
            <w:r>
              <w:rPr>
                <w:rFonts w:ascii="Times New Roman" w:eastAsia="Times New Roman" w:hAnsi="Times New Roman" w:cs="Times New Roman"/>
                <w:noProof/>
                <w:color w:val="444444"/>
                <w:lang w:eastAsia="x-none"/>
              </w:rPr>
              <w:t>’ wares, whether or not containing cocoa; communion wafers, empty cachets of a kind suitable for pharmaceutical use, sealing wafers, rice paper and similar products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those of Chapter 11</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20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Preparations of vegetables, fruit, nuts or other parts of plants;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all the fruit, nuts or vegetables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ex2001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Yams, sweet potatoes and similar edible parts of plants containing 5 % or more by weight of starch, prepared or preserved by vinegar or acetic acid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ex2004 and ex ex2005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Potatoes in the form of flour, meal or flakes, prepared or preserved otherwise than by vinegar or acetic acid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2006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Vegetables, fruit, nuts, fruit-peel and other parts of plants, preserved by sugar (drained, glac</w:t>
            </w:r>
            <w:r>
              <w:rPr>
                <w:rFonts w:ascii="Times New Roman" w:eastAsia="Times New Roman" w:hAnsi="Times New Roman" w:cs="Times New Roman"/>
                <w:noProof/>
                <w:color w:val="444444"/>
                <w:lang w:eastAsia="x-none"/>
              </w:rPr>
              <w:t>é or crystallized)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of Chapter 17 used does not exceed 30 %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2007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Jams, fruit jellies, marmalades, fruit or nut pur</w:t>
            </w:r>
            <w:r>
              <w:rPr>
                <w:rFonts w:ascii="Times New Roman" w:eastAsia="Times New Roman" w:hAnsi="Times New Roman" w:cs="Times New Roman"/>
                <w:noProof/>
                <w:color w:val="444444"/>
                <w:lang w:eastAsia="x-none"/>
              </w:rPr>
              <w:t>ée and fruit or nut pastes, obtained by cooking, whether or not containing added sugar or other sweetening matter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of Chapter 17 used does not exceed 30 %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ex2008</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Nuts, not containing added sugar or spirits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xml:space="preserve">Manufacture in which the value of all the originating nuts and oil seeds of headings 0801, 0802 and 1202 to 1207 used </w:t>
                  </w:r>
                  <w:r>
                    <w:rPr>
                      <w:rFonts w:ascii="Times New Roman" w:eastAsia="Times New Roman" w:hAnsi="Times New Roman" w:cs="Times New Roman"/>
                      <w:noProof/>
                      <w:color w:val="444444"/>
                      <w:lang w:eastAsia="x-none"/>
                    </w:rPr>
                    <w:lastRenderedPageBreak/>
                    <w:t>exceeds 60 %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Peanut butter; mixtures based on cereals; palm hearts; maize (corn)</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 except for fruit and nuts cooked otherwise than by steaming or boiling in water, not containing added sugar, frozen</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of Chapter 17 used does not exceed 30 %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2009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Fruit juices (including grape must) and vegetable juices, unfermented and not containing added spirit, whether or not containing added sugar or other sweetening matter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of Chapter 17 used does not exceed 30 %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21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Miscellaneous edible preparations;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2101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Extracts, essences and concentrates, of coffee, tea or mat</w:t>
            </w:r>
            <w:r>
              <w:rPr>
                <w:rFonts w:ascii="Times New Roman" w:eastAsia="Times New Roman" w:hAnsi="Times New Roman" w:cs="Times New Roman"/>
                <w:noProof/>
                <w:color w:val="444444"/>
                <w:lang w:eastAsia="x-none"/>
              </w:rPr>
              <w:t>é and preparations with a basis of these products or with a basis of coffee, tea or maté; roasted chicory and other roasted coffee substitutes, and extracts, essences and concentrates thereof</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all the chicory used is wholly obtained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2103</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Sauces and preparations therefor; mixed condiments and mixed seasonings; mustard flour and meal and prepared mustard: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Sauces and preparations therefor; mixed condiments and mixed seasonings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 However, mustard flour or meal or prepared mustard may be used</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Mustard flour and meal and prepared mustard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ex2104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Soups and broths and preparations therefor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prepared or preserved vegetables of headings 2002 to 2005</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2106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Food preparations not elsewhere specified or included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of Chapter 17 used does not exceed 30 %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22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Beverages, spirits and vinegar;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all the grapes or materials derived from grapes used are wholly obtained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2202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Waters, including mineral waters and aerated waters, containing added sugar or other sweetening matter or flavoured, and other non-alcoholic beverages, not including fruit or vegetable juices of heading 2009</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of Chapter 17 used does not exceed 30 %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all the fruit juice used (except that of pineapple, lime or grapefruit) is originating</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2207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Undenatured ethyl alcohol of an alcoholic strength by volume of 80 % vol. or higher; ethyl alcohol and other spirits, denatured, of any strength</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heading 2207 or 2208,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all the grapes or materials derived from grapes used are wholly obtained or, if all the other materials used are already originating, arrack may be used up to a limit of 5 % by volume</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2208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Undenatured ethyl alcohol of an alcoholic strength by volume of less than 80 % vol.; </w:t>
            </w:r>
            <w:r>
              <w:rPr>
                <w:rFonts w:ascii="Times New Roman" w:hAnsi="Times New Roman" w:cs="Times New Roman"/>
                <w:noProof/>
                <w:color w:val="444444"/>
                <w:lang w:eastAsia="x-none"/>
              </w:rPr>
              <w:lastRenderedPageBreak/>
              <w:t>spirits, liqueurs and other spirituous beverages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heading 2207 or 2208,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all the grapes or materials derived from grapes used are wholly obtained or, if all the other materials used are already originating, arrack may be used up to a limit of 5 % by volume</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23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Residues and waste from the food industries; prepared animal fodder;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ex2301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Whale meal; flours, meals and pellets of fish or of crustaceans, molluscs or other aquatic invertebrates, unfit for human consumption</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all the materials of Chapters 2 and 3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ex2303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Residues from the manufacture of starch from maize (excluding concentrated steeping liquors), of a protein content, calculated on the dry product, exceeding 40 % by weight</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all the maize used is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ex2306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Oil cake and other solid residues resulting from the extraction of olive oil, containing more than 3 % of olive oil</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all the olives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2309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Preparations of a kind used in animal feeding</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all the cereals, sugar or molasses, meat or milk used are originating,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all the materials of Chapter 3 used are wholly obtained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24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Tobacco and manufactured tobacco substitutes;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all the materials of Chapter 24 used are wholly obtained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2402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Cigars, cheroots, cigarillos and cigarettes, of tobacco or of tobacco substitutes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at least 70 % by weight of the unmanufactured tobacco or tobacco refuse of heading 2401 used is originating</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ex2403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Smoking tobacco</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Manufacture in which at least 70 % by weight of the unmanufactured tobacco or </w:t>
            </w:r>
            <w:r>
              <w:rPr>
                <w:rFonts w:ascii="Times New Roman" w:hAnsi="Times New Roman" w:cs="Times New Roman"/>
                <w:noProof/>
                <w:color w:val="444444"/>
                <w:lang w:eastAsia="x-none"/>
              </w:rPr>
              <w:lastRenderedPageBreak/>
              <w:t>tobacco refuse of heading 2401 used is originating</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25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Salt; sulphur; earths and stone; plastering materials, lime and cement;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ex2504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Natural crystalline graphite, with enriched carbon content, purified and ground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Enriching of the carbon content, purifying and grinding of crude crystalline graphite</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ex2515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Marble, merely cut, by sawing or otherwise, into blocks or slabs of a rectangular (including square) shape, of a thickness not exceeding 25 cm</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Cutting, by sawing or otherwise, of marble (even if already sawn) of a thickness exceeding 25 cm</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ex2516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Granite, porphyry, basalt, sandstone and other monumental or building stone, merely cut, by sawing or otherwise, into blocks or slabs of a rectangular (including square) shape, of a thickness not exceeding 25 cm</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Cutting, by sawing or otherwise, of stone (even if already sawn) of a thickness exceeding 25 cm</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ex2518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Calcined dolomite</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Calcination of dolomite not calcined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ex2519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Crushed natural magnesium carbonate (magnesite), in hermetically-sealed containers, and magnesium oxide, whether or not pure, other than fused magnesia or dead-burned (sintered) magnesia</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natural magnesium carbonate (magnesite) may be used</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ex2520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Plasters specially prepared for dentistry</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ex2524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Natural asbestos fibres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asbestos concentrate</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ex2525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Mica powder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Grinding of mica or mica waste</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ex2530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Earth colours, calcined or powdered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Calcination or grinding of earth colours</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Chapter 26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Ores, slag and ash</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27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Mineral fuels, mineral oils and products of their distillation; bituminous substances; mineral waxes;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ex2707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Oils in which the weight of the aromatic constituents exceeds that of the non-aromatic constituents, being oils similar to mineral oils obtained by distillation of high temperature coal tar, of which more than 65 % by volume distils at a temperature of up to 250 </w:t>
            </w:r>
            <w:r>
              <w:rPr>
                <w:rFonts w:ascii="Times New Roman" w:eastAsia="Times New Roman" w:hAnsi="Times New Roman" w:cs="Times New Roman"/>
                <w:noProof/>
                <w:color w:val="444444"/>
                <w:lang w:eastAsia="x-none"/>
              </w:rPr>
              <w:t>°C (including mixtures of petroleum spirit and benzole), for use as power or heating fuels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Operations of refining and/or one or more specific process(es)</w:t>
            </w:r>
            <w:hyperlink r:id="rId12" w:anchor="ntr1-L_2013054EN.01003001-E0001"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1</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ex2709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Crude oils obtained from bituminous minerals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Destructive distillation of bituminous materials</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2710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Petroleum oils and oils obtained from bituminous materials, other than crude; preparations not elsewhere specified or included, containing by weight 70 % or more of petroleum oils or of oils obtained from bituminous materials, these oils being the basic constituents of the preparations; waste oils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Operations of refining and/or one or more specific process(es)</w:t>
            </w:r>
            <w:hyperlink r:id="rId13" w:anchor="ntr2-L_2013054EN.01003001-E0002"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2</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2711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Petroleum gases and other gaseous hydrocarbons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Operations of refining and/or one or more specific process(es)</w:t>
            </w:r>
            <w:hyperlink r:id="rId14" w:anchor="ntr2-L_2013054EN.01003001-E0002"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2</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Other operations in which all the materials used are classified within a heading other than that of the product. However, materials of the same heading as the product may be used, provided that their </w:t>
            </w:r>
            <w:r>
              <w:rPr>
                <w:rFonts w:ascii="Times New Roman" w:hAnsi="Times New Roman" w:cs="Times New Roman"/>
                <w:noProof/>
                <w:color w:val="444444"/>
                <w:lang w:eastAsia="x-none"/>
              </w:rPr>
              <w:lastRenderedPageBreak/>
              <w:t>total value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2712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Petroleum jelly; paraffin wax, microcrystalline petroleum wax, slack wax, ozokerite, lignite wax, peat wax, other mineral waxes, and similar products obtained by synthesis or by other processes, whether or not coloured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Operations of refining and/or one or more specific process(es)</w:t>
            </w:r>
            <w:hyperlink r:id="rId15" w:anchor="ntr2-L_2013054EN.01003001-E0002"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2</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2713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Petroleum coke, petroleum bitumen and other residues of petroleum oils or of oils obtained from bituminous materials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Operations of refining and/or one or more specific process(es)</w:t>
            </w:r>
            <w:hyperlink r:id="rId16" w:anchor="ntr1-L_2013054EN.01003001-E0001"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1</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2714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Bitumen and asphalt, natural; bituminous or oil shale and tar sands; asphaltites and asphaltic rocks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Operations of refining and/or one or more specific process(es)</w:t>
            </w:r>
            <w:hyperlink r:id="rId17" w:anchor="ntr1-L_2013054EN.01003001-E0001"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1</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2715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Bituminous mixtures based on natural asphalt, on natural bitumen, on petroleum bitumen, on mineral tar or on mineral tar pitch (for example, bituminous mastics, cut-backs)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Operations of refining and/or one or more specific process(es)</w:t>
            </w:r>
            <w:hyperlink r:id="rId18" w:anchor="ntr1-L_2013054EN.01003001-E0001"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1</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28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Inorganic chemicals; organic or inorganic compounds of precious metals, of rare-earth metals, of radioactive </w:t>
            </w:r>
            <w:r>
              <w:rPr>
                <w:rFonts w:ascii="Times New Roman" w:hAnsi="Times New Roman" w:cs="Times New Roman"/>
                <w:noProof/>
                <w:color w:val="444444"/>
                <w:lang w:eastAsia="x-none"/>
              </w:rPr>
              <w:lastRenderedPageBreak/>
              <w:t>elements or of isotopes;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 xml:space="preserve">Manufacture from materials of any heading, except that of the product. However, materials of the same heading as the product may be used, provided that </w:t>
            </w:r>
            <w:r>
              <w:rPr>
                <w:rFonts w:ascii="Times New Roman" w:hAnsi="Times New Roman" w:cs="Times New Roman"/>
                <w:noProof/>
                <w:color w:val="444444"/>
                <w:lang w:eastAsia="x-none"/>
              </w:rPr>
              <w:lastRenderedPageBreak/>
              <w:t>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 xml:space="preserve">Manufacture in which the value of all the materials used does not </w:t>
            </w:r>
            <w:r>
              <w:rPr>
                <w:rFonts w:ascii="Times New Roman" w:hAnsi="Times New Roman" w:cs="Times New Roman"/>
                <w:noProof/>
                <w:color w:val="444444"/>
                <w:lang w:eastAsia="x-none"/>
              </w:rPr>
              <w:lastRenderedPageBreak/>
              <w:t>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ex2805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‘Mischmetall’</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by electrolytic or thermal treatment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ex2811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Sulphur trioxide</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sulphur dioxide</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ex2833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Aluminium sulphate</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ex2840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Sodium perborate</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disodium tetraborate pentahydrate</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ex2852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Mercury compounds of internal ethers and their halogenated, sulphonated, nitrated or nitrosated derivatives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However, the value of all the materials of heading 2909 used shall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xml:space="preserve">– Mercury compounds of nucleic acids and their salts, whether or not </w:t>
                  </w:r>
                  <w:r>
                    <w:rPr>
                      <w:rFonts w:ascii="Times New Roman" w:eastAsia="Times New Roman" w:hAnsi="Times New Roman" w:cs="Times New Roman"/>
                      <w:noProof/>
                      <w:color w:val="444444"/>
                      <w:lang w:eastAsia="x-none"/>
                    </w:rPr>
                    <w:lastRenderedPageBreak/>
                    <w:t>chemically defined; other heterocyclic compounds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xml:space="preserve">Manufacture from materials of any heading. However, the value of all the materials of headings 2852, 2932, 2933 </w:t>
                  </w:r>
                  <w:r>
                    <w:rPr>
                      <w:rFonts w:ascii="Times New Roman" w:eastAsia="Times New Roman" w:hAnsi="Times New Roman" w:cs="Times New Roman"/>
                      <w:noProof/>
                      <w:color w:val="444444"/>
                      <w:lang w:eastAsia="x-none"/>
                    </w:rPr>
                    <w:lastRenderedPageBreak/>
                    <w:t>and 2934 used shall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xml:space="preserve">Manufacture in which the value of all the materials </w:t>
                  </w:r>
                  <w:r>
                    <w:rPr>
                      <w:rFonts w:ascii="Times New Roman" w:eastAsia="Times New Roman" w:hAnsi="Times New Roman" w:cs="Times New Roman"/>
                      <w:noProof/>
                      <w:color w:val="444444"/>
                      <w:lang w:eastAsia="x-none"/>
                    </w:rPr>
                    <w:lastRenderedPageBreak/>
                    <w:t>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ex Chapter 29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Organic chemicals;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 However, materials of the same heading as the product may be used, provided that 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ex ex2901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Acyclic hydrocarbons for use as power or heating fuels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Operations of refining and/or one or more specific process(es)</w:t>
            </w:r>
            <w:hyperlink r:id="rId19" w:anchor="ntr1-L_2013054EN.01003001-E0001"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1</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ex2902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Cyclanes and cyclenes (other than azulenes), benzene, toluene, xylenes, for use as power or heating fuels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Operations of refining and/or one or more specific process(es)</w:t>
            </w:r>
            <w:hyperlink r:id="rId20" w:anchor="ntr1-L_2013054EN.01003001-E0001"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1</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ex2905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Metal alcoholates of alcohols of this heading and of ethanol</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including other materials of heading 2905. However, metal alcoholates of this heading may be used, provided that 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2915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Saturated acyclic monocarboxylic acids and their anhydrides, halides, peroxides and peroxyacids; their halogenated, sulphonated, nitrated or nitrosated derivatives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However, the value of all the materials of headings 2915 and 2916 used shall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ex2932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Internal ethers and their halogenated, sulphonated, nitrated or nitrosated derivatives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However, the value of all the materials of heading 2909 used shall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Cyclic acetals and internal hemiacetals and their halogenated, sulphonated, nitrated or nitrosated derivatives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2933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Heterocyclic compounds with nitrogen hetero-atom(s) only</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However, the value of all the materials of headings 2932 and 2933 used shall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2934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Nucleic acids and their salts, whether or not chemically defined; other heterocyclic compounds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However, the value of all the materials of headings 2932, 2933 and 2934 used shall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t>
            </w:r>
            <w:r>
              <w:rPr>
                <w:rFonts w:ascii="Times New Roman" w:hAnsi="Times New Roman" w:cs="Times New Roman"/>
                <w:noProof/>
                <w:color w:val="444444"/>
                <w:lang w:eastAsia="x-none"/>
              </w:rPr>
              <w:lastRenderedPageBreak/>
              <w:t>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ex2939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Concentrates of poppy straw containing not less than 50 % by weight of alkaloids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30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Pharmaceutical products;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materials of the same heading as the product may be used, provided that 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3002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Human blood; animal blood prepared for therapeutic, prophylactic or diagnostic uses; antisera and other blood fractions and modified immunological products, whether or not obtained by means of biotechnological processes; vaccines, toxins, cultures of micro-organisms (excluding yeasts) and similar products: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Products consisting of two or more constituents which have been mixed together for therapeutic or prophylactic uses or unmixed products for these uses, put up in measured doses or in forms or packings for retail sale</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including other materials of heading 3002. However, materials of the same description as the product may be used, provided that their total value does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Human blood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including other materials of heading 3002. However, materials of the same description as the product may be used, provided that their total value does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 Animal blood prepared for therapeutic or prophylactic uses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including other materials of heading 3002. However, materials of the same description as the product may be used, provided that their total value does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Blood fractions other than antisera, haemoglobin, blood globulins and serum globulins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including other materials of heading 3002. However, materials of the same description as the product may be used, provided that their total value does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Haemoglobin, blood globulins and serum globulins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including other materials of heading 3002. However, materials of the same description as the product may be used, provided that their total value does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including other materials of heading 3002. However, materials of the same description as the product may be used, provided that their total value does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3003 and 3004</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Medicaments (excluding goods of heading 3002, 3005 or 3006):</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Obtained from amikacin of heading 2941</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 However, materials of headings 3003 and 3004 may be used, provided that their total value does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xml:space="preserve">from materials of any heading, except that of the product. However, materials of headings 3003 and 3004 may be used, provided that their total value does </w:t>
                        </w:r>
                        <w:r>
                          <w:rPr>
                            <w:rFonts w:ascii="Times New Roman" w:eastAsia="Times New Roman" w:hAnsi="Times New Roman" w:cs="Times New Roman"/>
                            <w:noProof/>
                            <w:sz w:val="24"/>
                            <w:szCs w:val="24"/>
                            <w:lang w:eastAsia="x-none"/>
                          </w:rPr>
                          <w:lastRenderedPageBreak/>
                          <w:t>not exceed 20 %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ex3006</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Waste pharmaceuticals specified in note 4(k) to this Chapter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The origin of the product in its original classification shall be retained</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Sterile surgical or dental adhesion barriers, whether or not absorbable:</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made of plastics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of Chapter 39 used does not exceed 20 % of the ex-works price of the product</w:t>
                  </w:r>
                  <w:hyperlink r:id="rId21" w:anchor="ntr5-L_2013054EN.01003001-E0005"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5</w:t>
                    </w:r>
                    <w:r>
                      <w:rPr>
                        <w:rFonts w:ascii="Times New Roman" w:hAnsi="Times New Roman" w:cs="Times New Roman"/>
                        <w:noProof/>
                        <w:color w:val="800080"/>
                        <w:lang w:eastAsia="x-none"/>
                      </w:rPr>
                      <w:t>)</w:t>
                    </w:r>
                  </w:hyperlink>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made of fabrics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22"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8"/>
                    <w:gridCol w:w="408"/>
                    <w:gridCol w:w="3082"/>
                  </w:tblGrid>
                  <w:tr w:rsidR="00D74962">
                    <w:tc>
                      <w:tcPr>
                        <w:tcW w:w="77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08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processed for spinning,</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or</w:t>
                        </w:r>
                      </w:p>
                    </w:tc>
                  </w:tr>
                  <w:tr w:rsidR="00D74962">
                    <w:tc>
                      <w:tcPr>
                        <w:tcW w:w="36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Appliances identifiable for ostomy use</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50 %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31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Fertilizers;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materials of the same heading as the product may be used, provided that 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ex3105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Mineral or chemical fertilizers containing two or three of the fertilizing elements nitrogen, phosphorous and potassium; other fertilizers; goods of this chapter, in tablets or similar forms or in packages of a gross weight not exceeding 10 kg, except for:</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25"/>
              <w:gridCol w:w="29"/>
              <w:gridCol w:w="2142"/>
            </w:tblGrid>
            <w:tr w:rsidR="00D74962">
              <w:tc>
                <w:tcPr>
                  <w:tcW w:w="154" w:type="dxa"/>
                  <w:gridSpan w:val="2"/>
                  <w:tcBorders>
                    <w:top w:val="single" w:sz="6" w:space="0" w:color="auto"/>
                    <w:left w:val="single" w:sz="6" w:space="0" w:color="auto"/>
                    <w:bottom w:val="single" w:sz="6" w:space="0" w:color="auto"/>
                    <w:right w:val="single" w:sz="6" w:space="0" w:color="auto"/>
                  </w:tcBorders>
                </w:tcPr>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p>
              </w:tc>
              <w:tc>
                <w:tcPr>
                  <w:tcW w:w="214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sodium nitrate</w:t>
                  </w:r>
                </w:p>
              </w:tc>
            </w:tr>
            <w:tr w:rsidR="00D74962">
              <w:tc>
                <w:tcPr>
                  <w:tcW w:w="125" w:type="dxa"/>
                  <w:tcBorders>
                    <w:top w:val="single" w:sz="6" w:space="0" w:color="auto"/>
                    <w:left w:val="single" w:sz="6" w:space="0" w:color="auto"/>
                    <w:bottom w:val="single" w:sz="6" w:space="0" w:color="auto"/>
                    <w:right w:val="single" w:sz="6" w:space="0" w:color="auto"/>
                  </w:tcBorders>
                </w:tcPr>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p>
              </w:tc>
              <w:tc>
                <w:tcPr>
                  <w:tcW w:w="2171"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calcium cyanamide</w:t>
                  </w:r>
                </w:p>
              </w:tc>
            </w:tr>
            <w:tr w:rsidR="00D74962">
              <w:tc>
                <w:tcPr>
                  <w:tcW w:w="125" w:type="dxa"/>
                  <w:tcBorders>
                    <w:top w:val="single" w:sz="6" w:space="0" w:color="auto"/>
                    <w:left w:val="single" w:sz="6" w:space="0" w:color="auto"/>
                    <w:bottom w:val="single" w:sz="6" w:space="0" w:color="auto"/>
                    <w:right w:val="single" w:sz="6" w:space="0" w:color="auto"/>
                  </w:tcBorders>
                </w:tcPr>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p>
              </w:tc>
              <w:tc>
                <w:tcPr>
                  <w:tcW w:w="2171"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potassium sulphate</w:t>
                  </w:r>
                </w:p>
              </w:tc>
            </w:tr>
            <w:tr w:rsidR="00D74962">
              <w:tc>
                <w:tcPr>
                  <w:tcW w:w="125" w:type="dxa"/>
                  <w:tcBorders>
                    <w:top w:val="single" w:sz="6" w:space="0" w:color="auto"/>
                    <w:left w:val="single" w:sz="6" w:space="0" w:color="auto"/>
                    <w:bottom w:val="single" w:sz="6" w:space="0" w:color="auto"/>
                    <w:right w:val="single" w:sz="6" w:space="0" w:color="auto"/>
                  </w:tcBorders>
                </w:tcPr>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p>
              </w:tc>
              <w:tc>
                <w:tcPr>
                  <w:tcW w:w="2171"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magnesium potassium sulphate</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However, materials of the same heading as the product may be used, provided that their total value does not exceed 20 %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32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Tanning or dyeing extracts; tannins and their derivatives; dyes, pigments and other colouring matter; paints and varnishes; putty and other mastics; inks;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materials of the same heading as the product may be used, provided that 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ex3201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Tannins and their salts, ethers, esters and other derivatives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tanning extracts of vegetable origin</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3205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Colour lakes; preparations as specified in note 3 to this chapter based on colour lakes</w:t>
            </w:r>
            <w:hyperlink r:id="rId23" w:anchor="ntr3-L_2013054EN.01003001-E0003"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3</w:t>
              </w:r>
              <w:r>
                <w:rPr>
                  <w:rFonts w:ascii="Times New Roman" w:hAnsi="Times New Roman" w:cs="Times New Roman"/>
                  <w:noProof/>
                  <w:color w:val="800080"/>
                  <w:lang w:eastAsia="x-none"/>
                </w:rPr>
                <w:t>)</w:t>
              </w:r>
            </w:hyperlink>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headings 3203, 3204 and 3205. However, materials of heading 3205 may be used, provided that 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Manufacture in which the value of all the materials used does not exceed 40 % of the ex-works price </w:t>
            </w:r>
            <w:r>
              <w:rPr>
                <w:rFonts w:ascii="Times New Roman" w:hAnsi="Times New Roman" w:cs="Times New Roman"/>
                <w:noProof/>
                <w:color w:val="444444"/>
                <w:lang w:eastAsia="x-none"/>
              </w:rPr>
              <w:lastRenderedPageBreak/>
              <w:t>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Chapter 33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Essential oils and resinoids; perfumery, cosmetic or toilet preparations;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materials of the same heading as the product may be used, provided that 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3301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Essential oils (terpeneless or not), including concretes and absolutes; resinoids; extracted oleoresins; concentrates of essential oils in fats, in fixed oils, in waxes or the like, obtained by enfleurage or maceration; terpenic by-products of the deterpenation of essential oils; aqueous distillates and aqueous solutions of essential oils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Manufacture from materials of any heading, including materials of a different </w:t>
            </w:r>
            <w:r>
              <w:rPr>
                <w:rFonts w:ascii="Times New Roman" w:eastAsia="Times New Roman" w:hAnsi="Times New Roman" w:cs="Times New Roman"/>
                <w:noProof/>
                <w:color w:val="444444"/>
                <w:lang w:eastAsia="x-none"/>
              </w:rPr>
              <w:t>‘group’</w:t>
            </w:r>
            <w:hyperlink r:id="rId24" w:anchor="ntr4-L_2013054EN.01003001-E0004"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4</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 in this heading. However, materials of the same group as the product may be used, provided that 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34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 xml:space="preserve">Soap, organic surface-active agents, washing preparations, lubricating preparations, artificial waxes, prepared waxes, polishing or scouring preparations, candles and similar articles, modelling pastes, </w:t>
            </w:r>
            <w:r>
              <w:rPr>
                <w:rFonts w:ascii="Times New Roman" w:eastAsia="Times New Roman" w:hAnsi="Times New Roman" w:cs="Times New Roman"/>
                <w:noProof/>
                <w:color w:val="444444"/>
                <w:lang w:eastAsia="x-none"/>
              </w:rPr>
              <w:t>‘dental waxes’ and dental preparations with a basis of plaster;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 However, materials of the same heading as the product may be used, provided that 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ex ex3403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Lubricating preparations containing less than 70 % by weight of petroleum oils or oils obtained from bituminous minerals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Operations of refining and/or one or more specific process(es)</w:t>
            </w:r>
            <w:hyperlink r:id="rId25" w:anchor="ntr1-L_2013054EN.01003001-E0001"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1</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Other operations in which all the materials used are classified within a heading other than that of the product. However, materials of the same heading as the product may be used, provided that their </w:t>
            </w:r>
            <w:r>
              <w:rPr>
                <w:rFonts w:ascii="Times New Roman" w:hAnsi="Times New Roman" w:cs="Times New Roman"/>
                <w:noProof/>
                <w:color w:val="444444"/>
                <w:lang w:eastAsia="x-none"/>
              </w:rPr>
              <w:lastRenderedPageBreak/>
              <w:t>total value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3404</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Artificial waxes and prepared waxes: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With a basis of paraffin, petroleum waxes, waxes obtained from bituminous minerals, slack wax or scale wax</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 However, materials of the same heading as the product may be used, provided that their total value does not exceed 50 %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06"/>
                    <w:gridCol w:w="3402"/>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hydrogenated oils having the character of waxes of heading 1516,</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fatty acids not chemically defined or industrial fatty alcohols having the character of waxes of heading 3823, and</w:t>
                        </w:r>
                      </w:p>
                    </w:tc>
                  </w:tr>
                  <w:tr w:rsidR="00D74962">
                    <w:tc>
                      <w:tcPr>
                        <w:tcW w:w="451"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0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materials of heading 3404</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However, these materials may be used, provided that their total value does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bl>
          <w:p w:rsidR="00D74962" w:rsidRDefault="00D74962">
            <w:pPr>
              <w:widowControl w:val="0"/>
              <w:spacing w:after="0" w:line="240" w:lineRule="auto"/>
              <w:rPr>
                <w:rFonts w:ascii="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35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Albuminoidal substances; modified starches; glues; enzymes;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materials of the same heading as the product may be used, provided that 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3505</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Dextrins and other modified starches (for example, pregelatinised or esterified starches); glues based on starches, or on dextrins or other modified starches: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Starch ethers and esters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including other materials of heading 3505</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xml:space="preserve">Manufacture in which the value of all </w:t>
                  </w:r>
                  <w:r>
                    <w:rPr>
                      <w:rFonts w:ascii="Times New Roman" w:eastAsia="Times New Roman" w:hAnsi="Times New Roman" w:cs="Times New Roman"/>
                      <w:noProof/>
                      <w:color w:val="444444"/>
                      <w:lang w:eastAsia="x-none"/>
                    </w:rPr>
                    <w:lastRenderedPageBreak/>
                    <w:t>the materials used does not exceed 40 %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those of heading 1108</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ex ex3507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Prepared enzymes not elsewhere specified or included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36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Explosives; pyrotechnic products; matches; pyrophoric alloys; certain combustible preparations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materials of the same heading as the product may be used, provided that 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37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Photographic or cinematographic goods;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materials of the same heading as the product may be used, provided that 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3701</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Photographic plates and film in the flat, sensitised, unexposed, of any material other than paper, paperboard or textiles; instant print film in the </w:t>
                  </w:r>
                  <w:r>
                    <w:rPr>
                      <w:rFonts w:ascii="Times New Roman" w:hAnsi="Times New Roman" w:cs="Times New Roman"/>
                      <w:noProof/>
                      <w:color w:val="444444"/>
                      <w:lang w:eastAsia="x-none"/>
                    </w:rPr>
                    <w:lastRenderedPageBreak/>
                    <w:t>flat, sensitised, unexposed, whether or not in packs: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Instant print film for colour photography, in packs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those of headings 3701 and 3702. However, materials of heading 3702 may be used, provided that their total value does not exceed 30 %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those of headings 3701 and 3702. However, materials of headings 3701 and 3702 may be used, provided that their total value does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3702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Photographic film in rolls, sensitised, unexposed, of any material other than paper, paperboard or textiles; instant print film in rolls, sensitised, unexposed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those of headings 3701 and 3702</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3704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Photographic plates, film paper, paperboard and textiles, exposed but not developed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those of headings 3701 to 3704</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38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Miscellaneous chemical products;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Manufacture from materials of any heading, except that of the product. However, materials of the same heading as </w:t>
            </w:r>
            <w:r>
              <w:rPr>
                <w:rFonts w:ascii="Times New Roman" w:hAnsi="Times New Roman" w:cs="Times New Roman"/>
                <w:noProof/>
                <w:color w:val="444444"/>
                <w:lang w:eastAsia="x-none"/>
              </w:rPr>
              <w:lastRenderedPageBreak/>
              <w:t>the product may be used, provided that their total value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 xml:space="preserve">Manufacture in which the value of all </w:t>
            </w:r>
            <w:r>
              <w:rPr>
                <w:rFonts w:ascii="Times New Roman" w:hAnsi="Times New Roman" w:cs="Times New Roman"/>
                <w:noProof/>
                <w:color w:val="444444"/>
                <w:lang w:eastAsia="x-none"/>
              </w:rPr>
              <w:lastRenderedPageBreak/>
              <w:t>the materials used does not exceed 40 % of the ex-works price of the product</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ex3801</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Colloidal graphite in suspension in oil and semi-colloidal graphite; carbonaceous pastes for electrodes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50 %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Graphite in paste form, being a mixture of more than 30 % by weight of graphite with mineral oils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of heading 3403 used does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ex ex3803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Refined tall oil</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Refining of crude tall oil</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ex ex3805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Spirits of sulphate turpentine, purified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Purification by distillation or refining of raw spirits of sulphate turpentine</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ex ex3806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Ester gums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resin acids</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xml:space="preserve">Manufacture in which the value of all the materials </w:t>
            </w:r>
            <w:r>
              <w:rPr>
                <w:rFonts w:ascii="Times New Roman" w:eastAsia="Times New Roman" w:hAnsi="Times New Roman" w:cs="Times New Roman"/>
                <w:noProof/>
                <w:color w:val="444444"/>
                <w:lang w:eastAsia="x-none"/>
              </w:rPr>
              <w:lastRenderedPageBreak/>
              <w:t>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ex3807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Wood pitch (wood tar pitch)</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Distillation of wood tar</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3808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Insecticides, rodenticides, fungicides, herbicides, anti-sprouting products and plant-growth regulators, disinfectants and similar products, put up in forms or packings for retail sale or as preparations or articles (for example, sulphur-treated bands, wicks and candles, and fly-papers)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products</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3809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Finishing agents, dye carriers to accelerate the dyeing or fixing of dyestuffs and other products and preparations (for example, dressings and mordants), of a kind used in the textile, paper, leather or like industries, not elsewhere specified or included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products</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3810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Pickling preparations for metal surfaces; fluxes and other auxiliary preparations for soldering, brazing or welding; soldering, brazing or welding powders and pastes </w:t>
            </w:r>
            <w:r>
              <w:rPr>
                <w:rFonts w:ascii="Times New Roman" w:hAnsi="Times New Roman" w:cs="Times New Roman"/>
                <w:noProof/>
                <w:color w:val="444444"/>
                <w:lang w:eastAsia="x-none"/>
              </w:rPr>
              <w:lastRenderedPageBreak/>
              <w:t>consisting of metal and other materials; preparations of a kind used as cores or coatings for welding electrodes or rods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in which the value of all the materials used does not exceed 50 % of the ex-works price of the products</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3811</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Anti-knock preparations, oxidation inhibitors, gum inhibitors, viscosity improvers, anti-corrosive preparations and other prepared additives, for mineral oils (including gasoline) or for other liquids used for the same purposes as mineral oils: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Prepared additives for lubricating oil, containing petroleum oils or oils obtained from bituminous minerals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of heading 3811 used does not exceed 50 %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50 %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3812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Prepared rubber accelerators; compound plasticisers for rubber or plastics, not elsewhere specified or included; anti-oxidizing preparations and other compound stabilizers for rubber or plastics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3813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Preparations and charges for fire-extinguishers; charged fire-extinguishing grenades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3814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Organic composite solvents and thinners, not elsewhere specified or included; prepared paint or varnish removers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3818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Chemical elements doped for use in electronics, in the form of discs, wafers or similar forms; </w:t>
            </w:r>
            <w:r>
              <w:rPr>
                <w:rFonts w:ascii="Times New Roman" w:hAnsi="Times New Roman" w:cs="Times New Roman"/>
                <w:noProof/>
                <w:color w:val="444444"/>
                <w:lang w:eastAsia="x-none"/>
              </w:rPr>
              <w:lastRenderedPageBreak/>
              <w:t>chemical compounds doped for use in electronics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3819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Hydraulic brake fluids and other prepared liquids for hydraulic transmission, not containing or containing less than 70 % by weight of petroleum oils or oils obtained from bituminous minerals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3820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Anti-freezing preparations and prepared de-icing fluids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ex3821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Prepared culture media for the development or maintenance of micro-organisms (including viruses and the like) or of plant, human or animal cells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3822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Diagnostic or laboratory reagents on a backing, prepared diagnostic or laboratory reagents whether or not on a backing, other than those of heading 3002 or 3006; certified reference materials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3823</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Industrial monocarboxylic fatty acids; acid oils from refining; industrial fatty alcohols: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Industrial monocarboxylic fatty acids, acid oils from refining</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Industrial fatty alcohols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including other materials of heading 3823</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3824</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Prepared binders for foundry moulds or cores; </w:t>
                  </w:r>
                  <w:r>
                    <w:rPr>
                      <w:rFonts w:ascii="Times New Roman" w:hAnsi="Times New Roman" w:cs="Times New Roman"/>
                      <w:noProof/>
                      <w:color w:val="444444"/>
                      <w:lang w:eastAsia="x-none"/>
                    </w:rPr>
                    <w:lastRenderedPageBreak/>
                    <w:t>chemical products and preparations of the chemical or allied industries (including those consisting of mixtures of natural products), not elsewhere specified or included: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The following of this heading:</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 However, materials of the same heading as the product may be used, provided that their total value does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Prepared binders for foundry moulds or cores based on natural resinous products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Naphthenic acids, their water-insoluble salts and their esters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Sorbitol other than that of heading 2905</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Petroleum sulphonates, excluding petroleum sulphonates of alkali metals, of ammonium or of ethanolamines; thiophenated sulphonic acids of oils obtained from bituminous minerals, and their salts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Ion exchangers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Getters for vacuum tubes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Alkaline iron oxide for the purification of gas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xml:space="preserve">– – Ammoniacal gas liquors and spent oxide </w:t>
                  </w:r>
                  <w:r>
                    <w:rPr>
                      <w:rFonts w:ascii="Times New Roman" w:eastAsia="Times New Roman" w:hAnsi="Times New Roman" w:cs="Times New Roman"/>
                      <w:noProof/>
                      <w:color w:val="444444"/>
                      <w:lang w:eastAsia="x-none"/>
                    </w:rPr>
                    <w:lastRenderedPageBreak/>
                    <w:t>produced in coal gas purification</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Sulphonaphthenic acids, their water-insoluble salts and their esters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Fusel oil and Dippel’s oil</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Mixtures of salts having different anions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Copying pastes with a basis of gelatin, whether or not on a paper or textile backing</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50 %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3901 to 3915</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Plastics in primary forms, waste, parings and scrap, of plastic; except for headings ex ex3907 and 3912 for which the rules are set out below:</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Addition homopolymerisation products in which a single monomer contributes more than 99 % by weight to the total polymer content</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50 %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Chapter 39 used does not exceed 20 % of the ex-works price of the product</w:t>
                        </w:r>
                        <w:hyperlink r:id="rId26" w:anchor="ntr5-L_2013054EN.01003001-E0005"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5</w:t>
                          </w:r>
                          <w:r>
                            <w:rPr>
                              <w:rFonts w:ascii="Times New Roman" w:hAnsi="Times New Roman" w:cs="Times New Roman"/>
                              <w:noProof/>
                              <w:color w:val="800080"/>
                              <w:sz w:val="24"/>
                              <w:szCs w:val="24"/>
                              <w:lang w:eastAsia="x-none"/>
                            </w:rPr>
                            <w:t>)</w:t>
                          </w:r>
                        </w:hyperlink>
                      </w:p>
                    </w:tc>
                  </w:tr>
                </w:tbl>
                <w:p w:rsidR="00D74962" w:rsidRDefault="00D74962">
                  <w:pPr>
                    <w:widowControl w:val="0"/>
                    <w:spacing w:after="0" w:line="240" w:lineRule="auto"/>
                    <w:rPr>
                      <w:rFonts w:ascii="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of Chapter 39 used does not exceed 20 % of the ex-works price of the product</w:t>
                  </w:r>
                  <w:hyperlink r:id="rId27" w:anchor="ntr5-L_2013054EN.01003001-E0005"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5</w:t>
                    </w:r>
                    <w:r>
                      <w:rPr>
                        <w:rFonts w:ascii="Times New Roman" w:hAnsi="Times New Roman" w:cs="Times New Roman"/>
                        <w:noProof/>
                        <w:color w:val="800080"/>
                        <w:lang w:eastAsia="x-none"/>
                      </w:rPr>
                      <w:t>)</w:t>
                    </w:r>
                  </w:hyperlink>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bl>
          <w:p w:rsidR="00D74962" w:rsidRDefault="00D74962">
            <w:pPr>
              <w:widowControl w:val="0"/>
              <w:spacing w:after="0" w:line="240" w:lineRule="auto"/>
              <w:rPr>
                <w:rFonts w:ascii="Times New Roman" w:hAnsi="Times New Roman" w:cs="Times New Roman"/>
                <w:noProof/>
                <w:color w:val="44444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ex3907</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Copolymer, made from polycarbonate and acrylonitrile-butadiene-styrene copolymer (ABS)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 However, materials of the same heading as the product may be used, provided that their total value does not exceed 50 % of the ex-works price of the product</w:t>
                  </w:r>
                  <w:hyperlink r:id="rId28" w:anchor="ntr5-L_2013054EN.01003001-E0005"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5</w:t>
                    </w:r>
                    <w:r>
                      <w:rPr>
                        <w:rFonts w:ascii="Times New Roman" w:hAnsi="Times New Roman" w:cs="Times New Roman"/>
                        <w:noProof/>
                        <w:color w:val="800080"/>
                        <w:lang w:eastAsia="x-none"/>
                      </w:rPr>
                      <w:t>)</w:t>
                    </w:r>
                  </w:hyperlink>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Polyester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of Chapter 39 used does not exceed 20 % of the ex-works price of the product and/or manufacture from polycarbonate of tetrabromo-(bisphenol A)</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3912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Cellulose and its chemical derivatives, not elsewhere specified or included, in primary forms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of the same heading as the product used does not exceed 20 %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3916 to 3921</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Semi-manufactures and articles of plastics; except for headings ex ex3916, ex ex3917, ex ex3920 and ex ex3921, for which the rules are set out below:</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Flat products, further worked than only surface-worked or cut into forms other than rectangular (including square); other products, further worked than only surface-worked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of Chapter 39 used does not exceed 50 %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25 %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Addition homopolymerisation products in which a single monomer contributes more than 99 % by weight to the total polymer content</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50 %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Chapter 39 used does not exceed 20 % of the ex-works price of the product</w:t>
                        </w:r>
                        <w:hyperlink r:id="rId29" w:anchor="ntr5-L_2013054EN.01003001-E0005"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5</w:t>
                          </w:r>
                          <w:r>
                            <w:rPr>
                              <w:rFonts w:ascii="Times New Roman" w:hAnsi="Times New Roman" w:cs="Times New Roman"/>
                              <w:noProof/>
                              <w:color w:val="800080"/>
                              <w:sz w:val="24"/>
                              <w:szCs w:val="24"/>
                              <w:lang w:eastAsia="x-none"/>
                            </w:rPr>
                            <w:t>)</w:t>
                          </w:r>
                        </w:hyperlink>
                      </w:p>
                    </w:tc>
                  </w:tr>
                </w:tbl>
                <w:p w:rsidR="00D74962" w:rsidRDefault="00D74962">
                  <w:pPr>
                    <w:widowControl w:val="0"/>
                    <w:spacing w:after="0" w:line="240" w:lineRule="auto"/>
                    <w:rPr>
                      <w:rFonts w:ascii="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of Chapter 39 used does not exceed 20 % of the ex-works price of the product</w:t>
                  </w:r>
                  <w:hyperlink r:id="rId30" w:anchor="ntr5-L_2013054EN.01003001-E0005"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5</w:t>
                    </w:r>
                    <w:r>
                      <w:rPr>
                        <w:rFonts w:ascii="Times New Roman" w:hAnsi="Times New Roman" w:cs="Times New Roman"/>
                        <w:noProof/>
                        <w:color w:val="800080"/>
                        <w:lang w:eastAsia="x-none"/>
                      </w:rPr>
                      <w:t>)</w:t>
                    </w:r>
                  </w:hyperlink>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bl>
          <w:p w:rsidR="00D74962" w:rsidRDefault="00D74962">
            <w:pPr>
              <w:widowControl w:val="0"/>
              <w:spacing w:after="0" w:line="240" w:lineRule="auto"/>
              <w:rPr>
                <w:rFonts w:ascii="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ex3916 and ex ex3917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Profile shapes and tubes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50 %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the same heading as the product used does not exceed 20 %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ex3920</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Ionomer sheet or film</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a thermoplastic partial salt which is a copolymer of ethylene and metacrylic acid partly neutralised with metal ions, mainly zinc and sodium</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25 %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Sheets of regenerated cellulose, polyamides or polyethylene</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of the same heading as the product used does not exceed 20 %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ex3921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Foils of plastic, metallised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highly-transparent polyester-foils with a thickness of less than 23 micron</w:t>
            </w:r>
            <w:hyperlink r:id="rId31" w:anchor="ntr6-L_2013054EN.01003001-E0006"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6</w:t>
              </w:r>
              <w:r>
                <w:rPr>
                  <w:rFonts w:ascii="Times New Roman" w:hAnsi="Times New Roman" w:cs="Times New Roman"/>
                  <w:noProof/>
                  <w:color w:val="800080"/>
                  <w:lang w:eastAsia="x-none"/>
                </w:rPr>
                <w:t>)</w:t>
              </w:r>
            </w:hyperlink>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3922 to 3926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plastics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40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Rubber and articles thereof;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ex4001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Laminated slabs of crepe rubber for shoes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Lamination of sheets of natural rubber</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4005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Compounded rubber, unvulcanised, in primary forms or in plates, sheets or strip</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except natural rubber,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4012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Retreaded or used pneumatic tyres of rubber; solid or cushion tyres, tyre treads and tyre flaps, of rubber: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Retreaded pneumatic, solid or cushion tyres, of rubber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Retreading of used tyres</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those of headings 4011 and 4012</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ex4017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hard rubber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hard rubber</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41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Raw hides and skins (other than furskins) and leather;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ex4102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Raw skins of sheep or lambs, without wool on</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Removal of wool from sheep or lamb skins, with wool on</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4104 to 4106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Tanned or crust hides and skins, without wool or hair on, whether or not split, but not further prepared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Retanning of tanned leather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4107, 4112 and 4113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Leather further prepared after tanning or crusting, including parchment-dressed leather, without wool or hair on, whether or not split, other than leather of heading 4114</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headings 4104 to 4113</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ex4114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Patent leather and patent laminated leather; metallised leather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Manufacture from materials of headings 4104 to 4106, 4107, 4112 or 4113, provided that their total value does not </w:t>
            </w:r>
            <w:r>
              <w:rPr>
                <w:rFonts w:ascii="Times New Roman" w:hAnsi="Times New Roman" w:cs="Times New Roman"/>
                <w:noProof/>
                <w:color w:val="444444"/>
                <w:lang w:eastAsia="x-none"/>
              </w:rPr>
              <w:lastRenderedPageBreak/>
              <w:t>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42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leather; saddlery and harness; travel goods, handbags and similar containers; articles of animal gut (other than silk worm gut)</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43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Furskins and artificial fur; manufactures thereof;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ex4302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Tanned or dressed furskins, assembled: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Plates, crosses and similar forms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Bleaching or dyeing, in addition to cutting and assembly of non-assembled tanned or dressed furskins</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non-assembled, tanned or dressed furskins</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4303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apparel, clothing accessories and other articles of furskin</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non-assembled tanned or dressed furskins of heading 4302</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44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Wood and articles of wood; wood charcoal;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ex4403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Wood roughly squared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wood in the rough, whether or not stripped of its bark or merely roughed down</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ex4407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Wood sawn or chipped lengthwise, sliced or peeled, of a thickness exceeding 6 mm, planed, sanded or end-jointed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Planing, sanding or end-jointing</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ex4408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Sheets for veneering (including those obtained by slicing laminated wood) and for plywood, of a thickness not exceeding 6 mm, spliced, and other wood sawn lengthwise, sliced or peeled of a thickness not exceeding 6 mm, planed, sanded or end-jointed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Splicing, planing, sanding or end-jointing</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ex4409</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Wood continuously shaped along any of its edges, ends or faces, whether or not planed, sanded or end-jointed: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Sanded or end-jointed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Sanding or end-jointing</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Beadings and mouldings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Beading or moulding</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ex4410 to ex ex4413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Beadings and mouldings, including moulded skirting and other moulded boards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Beading or moulding</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ex4415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Packing cases, boxes, crates, drums and similar packings, of wood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boards not cut to size</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ex4416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Casks, barrels, vats, tubs and other coopers</w:t>
            </w:r>
            <w:r>
              <w:rPr>
                <w:rFonts w:ascii="Times New Roman" w:eastAsia="Times New Roman" w:hAnsi="Times New Roman" w:cs="Times New Roman"/>
                <w:noProof/>
                <w:color w:val="444444"/>
                <w:lang w:eastAsia="x-none"/>
              </w:rPr>
              <w:t>’ products and parts thereof, of wood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riven staves, not further worked than sawn on the two principal surfaces</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ex4418</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Builders’ joinery and carpentry of wood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 However, cellular wood panels, shingles and shakes may be used</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Beadings and mouldings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Beading or moulding</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ex4421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Match splints; wooden pegs or pins for footwear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wood of any heading, except drawn wood of heading 4409</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45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Cork and articles of cork;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4503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natural cork</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cork of heading 4501</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46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Manufactures of straw, of esparto or of other plaiting materials; basketware and wickerwork</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47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Pulp of wood or of other fibrous cellulosic material; recovered (waste and scrap) paper or paperboard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48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Paper and paperboard; articles of paper pulp, of paper or of paperboard;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ex4811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Paper and paperboard, ruled, lined or squared only</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paper-making materials of Chapter 47</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4816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Carbon paper, self-copy paper and other copying or transfer papers (other than those of heading 4809), duplicator stencils and offset plates, of paper, whether or not put up in boxes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paper-making materials of Chapter 47</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4817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Envelopes, letter cards, plain postcards and correspondence cards, of paper or paperboard; boxes, pouches, wallets and writing compendiums, of paper or paperboard, containing an assortment of paper stationery</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ex4818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Toilet paper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paper-making materials of Chapter 47</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ex4819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Cartons, boxes, cases, bags and other packing containers, of paper, paperboard, cellulose wadding or webs of cellulose fibres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ex4820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Letter pads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ex4823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paper, paperboard, cellulose wadding and webs of cellulose fibres, cut to size or shape</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paper-making materials of Chapter 47</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49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Printed books, newspapers, pictures and other products of the printing industry; manuscripts, typescripts and plans;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4909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Printed or illustrated postcards; printed cards bearing personal greetings, messages or announcements, whether or not illustrated, with or without envelopes or trimmings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those of headings 4909 and 4911</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4910</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Calendars of any kind, printed, including calendar blocks: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Calendars of the ‘perpetual’ type or with replaceable blocks mounted on bases other than paper or paperboard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those of headings 4909 and 4911</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50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Silk;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ex5003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Silk waste (including cocoons unsuitable for reeling, yarn waste and garnetted stock), carded or combed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Carding or combing of silk waste</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5004 to ex ex5006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Silk yarn and yarn spun from silk waste</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w:t>
            </w:r>
            <w:hyperlink r:id="rId32"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43"/>
              <w:gridCol w:w="3365"/>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raw silk or silk waste,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other natural fibres, not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48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3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paper-making materials</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5007</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Woven fabrics of silk or of silk waste:</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Incorporating rubber thread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single yarn</w:t>
                  </w:r>
                  <w:hyperlink r:id="rId33"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34"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401"/>
                    <w:gridCol w:w="224"/>
                    <w:gridCol w:w="382"/>
                    <w:gridCol w:w="2501"/>
                  </w:tblGrid>
                  <w:tr w:rsidR="00D74962">
                    <w:tc>
                      <w:tcPr>
                        <w:tcW w:w="970"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88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coir yarn,</w:t>
                        </w:r>
                      </w:p>
                    </w:tc>
                  </w:tr>
                  <w:tr w:rsidR="00D74962">
                    <w:tc>
                      <w:tcPr>
                        <w:tcW w:w="74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135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50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Chapter 51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Wool, fine or coarse animal hair; horsehair yarn and woven fabric;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5106 to 5110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Yarn of wool, of fine or coarse animal hair or of horsehair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w:t>
            </w:r>
            <w:hyperlink r:id="rId35"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43"/>
              <w:gridCol w:w="3365"/>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raw silk or silk waste,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 not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48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3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paper-making materials</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5111 to 5113</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Woven fabrics of wool, of fine or coarse animal hair or of horsehair: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Incorporating rubber thread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single yarn</w:t>
                  </w:r>
                  <w:hyperlink r:id="rId36"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37"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401"/>
                    <w:gridCol w:w="224"/>
                    <w:gridCol w:w="382"/>
                    <w:gridCol w:w="2501"/>
                  </w:tblGrid>
                  <w:tr w:rsidR="00D74962">
                    <w:tc>
                      <w:tcPr>
                        <w:tcW w:w="970"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88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coir yarn,</w:t>
                        </w:r>
                      </w:p>
                    </w:tc>
                  </w:tr>
                  <w:tr w:rsidR="00D74962">
                    <w:tc>
                      <w:tcPr>
                        <w:tcW w:w="74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50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135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50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Chapter 52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Cotton;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5204 to 5207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Yarn and thread of cotton</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w:t>
            </w:r>
            <w:hyperlink r:id="rId38"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43"/>
              <w:gridCol w:w="3365"/>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raw silk or silk waste,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 not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48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3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paper-making materials</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5208 to 5212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Woven fabrics of cotton:</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Incorporating rubber thread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single yarn</w:t>
                  </w:r>
                  <w:hyperlink r:id="rId39"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40"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401"/>
                    <w:gridCol w:w="224"/>
                    <w:gridCol w:w="382"/>
                    <w:gridCol w:w="2501"/>
                  </w:tblGrid>
                  <w:tr w:rsidR="00D74962">
                    <w:tc>
                      <w:tcPr>
                        <w:tcW w:w="970"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88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coir yarn,</w:t>
                        </w:r>
                      </w:p>
                    </w:tc>
                  </w:tr>
                  <w:tr w:rsidR="00D74962">
                    <w:tc>
                      <w:tcPr>
                        <w:tcW w:w="74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135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50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Chapter 53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vegetable textile fibres; paper yarn and woven fabrics of paper yarn;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5306 to 5308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Yarn of other vegetable textile fibres; paper yarn</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w:t>
            </w:r>
            <w:hyperlink r:id="rId41"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43"/>
              <w:gridCol w:w="3365"/>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raw silk or silk waste,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 not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48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3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paper-making materials</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5309 to 5311</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Woven fabrics of other vegetable textile fibres; woven fabrics of paper yarn:</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Incorporating rubber thread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single yarn</w:t>
                  </w:r>
                  <w:hyperlink r:id="rId42"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43"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401"/>
                    <w:gridCol w:w="224"/>
                    <w:gridCol w:w="10"/>
                    <w:gridCol w:w="372"/>
                    <w:gridCol w:w="2501"/>
                  </w:tblGrid>
                  <w:tr w:rsidR="00D74962">
                    <w:tc>
                      <w:tcPr>
                        <w:tcW w:w="970"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883"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coir yarn,</w:t>
                        </w:r>
                      </w:p>
                    </w:tc>
                  </w:tr>
                  <w:tr w:rsidR="00D74962">
                    <w:tc>
                      <w:tcPr>
                        <w:tcW w:w="980"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87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jute yarn,</w:t>
                        </w:r>
                      </w:p>
                    </w:tc>
                  </w:tr>
                  <w:tr w:rsidR="00D74962">
                    <w:tc>
                      <w:tcPr>
                        <w:tcW w:w="74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1352"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50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5401 to 5406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Yarn, monofilament and thread of man-made filaments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w:t>
            </w:r>
            <w:hyperlink r:id="rId44"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43"/>
              <w:gridCol w:w="3365"/>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raw silk or silk waste,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 not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48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3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paper-making materials</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5407 and 5408</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Woven fabrics of man-made filament yarn:</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Incorporating rubber thread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single yarn</w:t>
                  </w:r>
                  <w:hyperlink r:id="rId45"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46"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401"/>
                    <w:gridCol w:w="224"/>
                    <w:gridCol w:w="382"/>
                    <w:gridCol w:w="2501"/>
                  </w:tblGrid>
                  <w:tr w:rsidR="00D74962">
                    <w:tc>
                      <w:tcPr>
                        <w:tcW w:w="970"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88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coir yarn,</w:t>
                        </w:r>
                      </w:p>
                    </w:tc>
                  </w:tr>
                  <w:tr w:rsidR="00D74962">
                    <w:tc>
                      <w:tcPr>
                        <w:tcW w:w="74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135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50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5501 to 5507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Man-made staple fibres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chemical materials or textile pulp</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5508 to 5511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Yarn and sewing thread of man-made staple fibres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w:t>
            </w:r>
            <w:hyperlink r:id="rId47"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43"/>
              <w:gridCol w:w="3365"/>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raw silk or silk waste,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 not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48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3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paper-making materials</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5512 to 5516</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Woven fabrics of man-made staple fibres: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Incorporating rubber thread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single yarn</w:t>
                  </w:r>
                  <w:hyperlink r:id="rId48"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49"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401"/>
                    <w:gridCol w:w="224"/>
                    <w:gridCol w:w="382"/>
                    <w:gridCol w:w="2501"/>
                  </w:tblGrid>
                  <w:tr w:rsidR="00D74962">
                    <w:tc>
                      <w:tcPr>
                        <w:tcW w:w="970"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88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coir yarn,</w:t>
                        </w:r>
                      </w:p>
                    </w:tc>
                  </w:tr>
                  <w:tr w:rsidR="00D74962">
                    <w:tc>
                      <w:tcPr>
                        <w:tcW w:w="74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prepared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135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50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56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Wadding, felt and non-wovens; special yarns; twine, cordage, ropes and cables and articles thereof; except for:</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w:t>
            </w:r>
            <w:hyperlink r:id="rId50"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43"/>
              <w:gridCol w:w="258"/>
              <w:gridCol w:w="224"/>
              <w:gridCol w:w="2883"/>
            </w:tblGrid>
            <w:tr w:rsidR="00D74962">
              <w:tc>
                <w:tcPr>
                  <w:tcW w:w="970"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8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coir yarn,</w:t>
                  </w:r>
                </w:p>
              </w:tc>
            </w:tr>
            <w:tr w:rsidR="00D74962">
              <w:tc>
                <w:tcPr>
                  <w:tcW w:w="74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48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36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paper-making materials</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5602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Felt, whether or not impregnated, coated, covered or laminated: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Needleloom felt</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51"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63"/>
                    <w:gridCol w:w="288"/>
                    <w:gridCol w:w="3202"/>
                  </w:tblGrid>
                  <w:tr w:rsidR="00D74962">
                    <w:tc>
                      <w:tcPr>
                        <w:tcW w:w="651"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20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 or</w:t>
                        </w:r>
                      </w:p>
                    </w:tc>
                  </w:tr>
                  <w:tr w:rsidR="00D74962">
                    <w:tc>
                      <w:tcPr>
                        <w:tcW w:w="36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However:</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polypropylene filament of heading 5402,</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polypropylene fibres of heading 5503 or 5506, or</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polypropylene filament tow of heading 5501,</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of which the denomination in all cases of a single filament or fibre is less than 9 decitex, may be used, provided that their total value does not exceed 40 %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52"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8"/>
                    <w:gridCol w:w="383"/>
                    <w:gridCol w:w="3107"/>
                  </w:tblGrid>
                  <w:tr w:rsidR="00D74962">
                    <w:tc>
                      <w:tcPr>
                        <w:tcW w:w="74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made from casein, or</w:t>
                        </w:r>
                      </w:p>
                    </w:tc>
                  </w:tr>
                  <w:tr w:rsidR="00D74962">
                    <w:tc>
                      <w:tcPr>
                        <w:tcW w:w="36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5604</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Rubber thread and cord, textile covered; textile yarn, and strip and the like of heading 5404 or 5405, impregnated, coated, covered or sheathed with rubber or plastics: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Rubber thread and cord, textile covered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rubber thread or cord, not textile covered</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53"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43"/>
                    <w:gridCol w:w="3365"/>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 not carded or combed or otherwise processed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48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3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paper-making materials</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5605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Metallised yarn, whether or not gimped, being textile yarn, or strip or the like of heading 5404 or 5405, combined with metal in the form of thread, strip or powder or covered with metal</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w:t>
            </w:r>
            <w:hyperlink r:id="rId54"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43"/>
              <w:gridCol w:w="258"/>
              <w:gridCol w:w="3107"/>
            </w:tblGrid>
            <w:tr w:rsidR="00D74962">
              <w:tc>
                <w:tcPr>
                  <w:tcW w:w="74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processed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48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36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paper-making materials</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5606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Gimped yarn, and strip and the like of heading 5404 or 5405, gimped (other than those of heading 5605 and gimped horsehair yarn); chenille yarn (including flock chenille yarn); loop wale-yarn</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w:t>
            </w:r>
            <w:hyperlink r:id="rId55"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43"/>
              <w:gridCol w:w="258"/>
              <w:gridCol w:w="3107"/>
            </w:tblGrid>
            <w:tr w:rsidR="00D74962">
              <w:tc>
                <w:tcPr>
                  <w:tcW w:w="74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processed for spinning,</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 or</w:t>
                  </w:r>
                </w:p>
              </w:tc>
            </w:tr>
            <w:tr w:rsidR="00D74962">
              <w:tc>
                <w:tcPr>
                  <w:tcW w:w="48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36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paper-making materials</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57</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Carpets and other textile floor coverings: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Of needleloom felt</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56"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63"/>
                    <w:gridCol w:w="288"/>
                    <w:gridCol w:w="3202"/>
                  </w:tblGrid>
                  <w:tr w:rsidR="00D74962">
                    <w:tc>
                      <w:tcPr>
                        <w:tcW w:w="651"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20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 or</w:t>
                        </w:r>
                      </w:p>
                    </w:tc>
                  </w:tr>
                  <w:tr w:rsidR="00D74962">
                    <w:tc>
                      <w:tcPr>
                        <w:tcW w:w="36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However:</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polypropylene filament of heading 5402,</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polypropylene fibres of heading 5503 or 5506, or</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polypropylene filament tow of heading 5501,</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of which the denomination in all cases of a single filament or fibre is less than 9 decitex, may be used, provided that their total value does not exceed 40 % of the ex-works price of the product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Jute fabric may be used as a backing</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Of other felt</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57"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8"/>
                    <w:gridCol w:w="3490"/>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 not carded or combed or otherwise processed for spinning, or</w:t>
                        </w:r>
                      </w:p>
                    </w:tc>
                  </w:tr>
                  <w:tr w:rsidR="00D74962">
                    <w:tc>
                      <w:tcPr>
                        <w:tcW w:w="36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49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58"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79"/>
                    <w:gridCol w:w="127"/>
                    <w:gridCol w:w="3202"/>
                  </w:tblGrid>
                  <w:tr w:rsidR="00D74962">
                    <w:tc>
                      <w:tcPr>
                        <w:tcW w:w="52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32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coir yarn or jute yarn,</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synthetic or artificial filament yarn,</w:t>
                        </w:r>
                      </w:p>
                    </w:tc>
                  </w:tr>
                  <w:tr w:rsidR="00D74962">
                    <w:tc>
                      <w:tcPr>
                        <w:tcW w:w="65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20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 or</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processed for spinning</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Jute fabric may be used as a backing</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Chapter 58</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Special woven fabrics; tufted textile fabrics; lace; tapestries; trimmings; embroidery; except for: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Combined with rubber thread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single yarn</w:t>
                  </w:r>
                  <w:hyperlink r:id="rId59"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60"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8"/>
                    <w:gridCol w:w="383"/>
                    <w:gridCol w:w="3107"/>
                  </w:tblGrid>
                  <w:tr w:rsidR="00D74962">
                    <w:tc>
                      <w:tcPr>
                        <w:tcW w:w="74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processed for spinning, or</w:t>
                        </w:r>
                      </w:p>
                    </w:tc>
                  </w:tr>
                  <w:tr w:rsidR="00D74962">
                    <w:tc>
                      <w:tcPr>
                        <w:tcW w:w="36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5805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Hand-woven tapestries of the types Gobelins, Flanders, Aubusson, Beauvais and the like, and needle-worked tapestries (for example, petit point, cross stitch), whether or not made up</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5810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Embroidery in the piece, in strips or in motifs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5901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Textile fabrics coated with gum or amylaceous substances, of a kind used for the outer covers of books or the like; tracing cloth; prepared painting canvas; buckram and similar stiffened textile fabrics of a kind used for hat foundations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yarn</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5902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Tyre cord fabric of high tenacity yarn of nylon or other polyamides, polyesters or viscose rayon:</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Containing not more than 90 % by weight of textile materials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yarn</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chemical materials or textile pulp</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5903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Textile fabrics impregnated, coated, covered or laminated with plastics, other than those of heading 5902</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yarn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Printing accompanied by at least two preparatory or finishing operations (such as scouring, bleaching, mercerising, heat setting, rasing, calendering, shrink resistance processing, permanent finishing, decatising, impregnating, mending and burling), provided that the value of the unprinted fabric used does not exceed 47.5 %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5904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Linoleum, whether or not cut to shape; floor coverings consisting of a coating or covering applied on a textile backing, whether or not cut to shape</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yarn</w:t>
            </w:r>
            <w:hyperlink r:id="rId61"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5905</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66"/>
              <w:gridCol w:w="1330"/>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Textile wall coverings:</w:t>
                  </w:r>
                </w:p>
              </w:tc>
              <w:tc>
                <w:tcPr>
                  <w:tcW w:w="396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Impregnated, coated, covered or laminated with rubber, plastics or other materials</w:t>
                  </w:r>
                </w:p>
              </w:tc>
              <w:tc>
                <w:tcPr>
                  <w:tcW w:w="396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yarn</w:t>
                  </w:r>
                </w:p>
              </w:tc>
              <w:tc>
                <w:tcPr>
                  <w:tcW w:w="13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6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62"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8"/>
                    <w:gridCol w:w="383"/>
                    <w:gridCol w:w="224"/>
                    <w:gridCol w:w="2883"/>
                  </w:tblGrid>
                  <w:tr w:rsidR="00D74962">
                    <w:tc>
                      <w:tcPr>
                        <w:tcW w:w="970"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8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coir yarn,</w:t>
                        </w:r>
                      </w:p>
                    </w:tc>
                  </w:tr>
                  <w:tr w:rsidR="00D74962">
                    <w:tc>
                      <w:tcPr>
                        <w:tcW w:w="74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processed for spinning, or</w:t>
                        </w:r>
                      </w:p>
                    </w:tc>
                  </w:tr>
                  <w:tr w:rsidR="00D74962">
                    <w:tc>
                      <w:tcPr>
                        <w:tcW w:w="36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0"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3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5906</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Rubberised textile fabrics, other than those of heading 5902:</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Knitted or crocheted fabrics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63"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8"/>
                    <w:gridCol w:w="383"/>
                    <w:gridCol w:w="3107"/>
                  </w:tblGrid>
                  <w:tr w:rsidR="00D74962">
                    <w:tc>
                      <w:tcPr>
                        <w:tcW w:w="74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processed for spinning, or</w:t>
                        </w:r>
                      </w:p>
                    </w:tc>
                  </w:tr>
                  <w:tr w:rsidR="00D74962">
                    <w:tc>
                      <w:tcPr>
                        <w:tcW w:w="36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 fabrics made of synthetic filament yarn, containing more than 90 % by weight of textile materials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chemical materials</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yarn</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5907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Textile fabrics otherwise impregnated, coated or covered; painted canvas being theatrical scenery, </w:t>
            </w:r>
            <w:r>
              <w:rPr>
                <w:rFonts w:ascii="Times New Roman" w:hAnsi="Times New Roman" w:cs="Times New Roman"/>
                <w:noProof/>
                <w:color w:val="444444"/>
                <w:lang w:eastAsia="x-none"/>
              </w:rPr>
              <w:lastRenderedPageBreak/>
              <w:t>studio back-cloths or the like</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from yarn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Printing accompanied by at least two preparatory or finishing operations (such as scouring, bleaching, mercerising, heat </w:t>
            </w:r>
            <w:r>
              <w:rPr>
                <w:rFonts w:ascii="Times New Roman" w:hAnsi="Times New Roman" w:cs="Times New Roman"/>
                <w:noProof/>
                <w:color w:val="444444"/>
                <w:lang w:eastAsia="x-none"/>
              </w:rPr>
              <w:lastRenderedPageBreak/>
              <w:t>setting, rasing, calendering, shrink resistance processing, permanent finishing, decatising, impregnating, mending and burling), provided that the value of the unprinted fabric used does not exceed 47.5 %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5908</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Textile wicks, woven, plaited or knitted, for lamps, stoves, lighters, candles or the like; incandescent gas mantles and tubular knitted gas mantle fabric therefor, whether or not impregnated: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Incandescent gas mantles, impregnated</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tubular knitted gas-mantle fabric</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5909 to 5911</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Textile articles of a kind suitable for industrial use:</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Polishing discs or rings other than of felt of heading 5911</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yarn or waste fabrics or rags of heading 6310</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Woven fabrics, of a kind commonly used in papermaking or other technical uses, felted or not, whether or not impregnated or coated, tubular or endless with single or multiple warp and/or weft, or flat woven with multiple warp and/or weft of heading 5911</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64"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625"/>
                    <w:gridCol w:w="2883"/>
                  </w:tblGrid>
                  <w:tr w:rsidR="00D74962">
                    <w:tc>
                      <w:tcPr>
                        <w:tcW w:w="97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8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coir yarn,</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following materials: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405"/>
                          <w:gridCol w:w="339"/>
                          <w:gridCol w:w="2643"/>
                        </w:tblGrid>
                        <w:tr w:rsidR="00D74962">
                          <w:tc>
                            <w:tcPr>
                              <w:tcW w:w="4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w:t>
                              </w:r>
                            </w:p>
                          </w:tc>
                          <w:tc>
                            <w:tcPr>
                              <w:tcW w:w="298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yarn of polytetrafluoroethylene</w:t>
                              </w:r>
                              <w:hyperlink r:id="rId65" w:anchor="ntr8-L_2013054EN.01003001-E0008"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8</w:t>
                                </w:r>
                                <w:r>
                                  <w:rPr>
                                    <w:rFonts w:ascii="Times New Roman" w:hAnsi="Times New Roman" w:cs="Times New Roman"/>
                                    <w:noProof/>
                                    <w:color w:val="800080"/>
                                    <w:sz w:val="24"/>
                                    <w:szCs w:val="24"/>
                                    <w:lang w:eastAsia="x-none"/>
                                  </w:rPr>
                                  <w:t>)</w:t>
                                </w:r>
                              </w:hyperlink>
                              <w:r>
                                <w:rPr>
                                  <w:rFonts w:ascii="Times New Roman" w:hAnsi="Times New Roman" w:cs="Times New Roman"/>
                                  <w:noProof/>
                                  <w:sz w:val="24"/>
                                  <w:szCs w:val="24"/>
                                  <w:lang w:eastAsia="x-none"/>
                                </w:rPr>
                                <w:t>,</w:t>
                              </w:r>
                            </w:p>
                          </w:tc>
                        </w:tr>
                        <w:tr w:rsidR="00D74962">
                          <w:tc>
                            <w:tcPr>
                              <w:tcW w:w="4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w:t>
                              </w:r>
                            </w:p>
                          </w:tc>
                          <w:tc>
                            <w:tcPr>
                              <w:tcW w:w="298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yarn, multiple, of polyamide, coated impregnated or covered with a phenolic resin,</w:t>
                              </w:r>
                            </w:p>
                          </w:tc>
                        </w:tr>
                        <w:tr w:rsidR="00D74962">
                          <w:tc>
                            <w:tcPr>
                              <w:tcW w:w="4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w:t>
                              </w:r>
                            </w:p>
                          </w:tc>
                          <w:tc>
                            <w:tcPr>
                              <w:tcW w:w="298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yarn of synthetic textile fibres of aromatic polyamides, obtained by polycondensation of </w:t>
                              </w:r>
                              <w:r>
                                <w:rPr>
                                  <w:rFonts w:ascii="Times New Roman" w:hAnsi="Times New Roman" w:cs="Times New Roman"/>
                                  <w:i/>
                                  <w:iCs/>
                                  <w:noProof/>
                                  <w:sz w:val="24"/>
                                  <w:szCs w:val="24"/>
                                  <w:lang w:eastAsia="x-none"/>
                                </w:rPr>
                                <w:t>m</w:t>
                              </w:r>
                              <w:r>
                                <w:rPr>
                                  <w:rFonts w:ascii="Times New Roman" w:hAnsi="Times New Roman" w:cs="Times New Roman"/>
                                  <w:noProof/>
                                  <w:sz w:val="24"/>
                                  <w:szCs w:val="24"/>
                                  <w:lang w:eastAsia="x-none"/>
                                </w:rPr>
                                <w:t>-phenylenediamine and isophthalic acid,</w:t>
                              </w:r>
                            </w:p>
                          </w:tc>
                        </w:tr>
                        <w:tr w:rsidR="00D74962">
                          <w:tc>
                            <w:tcPr>
                              <w:tcW w:w="4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w:t>
                              </w:r>
                            </w:p>
                          </w:tc>
                          <w:tc>
                            <w:tcPr>
                              <w:tcW w:w="298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monofil of polytetrafluoroethylene</w:t>
                              </w:r>
                              <w:hyperlink r:id="rId66" w:anchor="ntr8-L_2013054EN.01003001-E0008"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8</w:t>
                                </w:r>
                                <w:r>
                                  <w:rPr>
                                    <w:rFonts w:ascii="Times New Roman" w:hAnsi="Times New Roman" w:cs="Times New Roman"/>
                                    <w:noProof/>
                                    <w:color w:val="800080"/>
                                    <w:sz w:val="24"/>
                                    <w:szCs w:val="24"/>
                                    <w:lang w:eastAsia="x-none"/>
                                  </w:rPr>
                                  <w:t>)</w:t>
                                </w:r>
                              </w:hyperlink>
                              <w:r>
                                <w:rPr>
                                  <w:rFonts w:ascii="Times New Roman" w:hAnsi="Times New Roman" w:cs="Times New Roman"/>
                                  <w:noProof/>
                                  <w:sz w:val="24"/>
                                  <w:szCs w:val="24"/>
                                  <w:lang w:eastAsia="x-none"/>
                                </w:rPr>
                                <w:t>,</w:t>
                              </w:r>
                            </w:p>
                          </w:tc>
                        </w:tr>
                        <w:tr w:rsidR="00D74962">
                          <w:tc>
                            <w:tcPr>
                              <w:tcW w:w="4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w:t>
                              </w:r>
                            </w:p>
                          </w:tc>
                          <w:tc>
                            <w:tcPr>
                              <w:tcW w:w="298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yarn of synthetic textile fibres of poly(</w:t>
                              </w:r>
                              <w:r>
                                <w:rPr>
                                  <w:rFonts w:ascii="Times New Roman" w:hAnsi="Times New Roman" w:cs="Times New Roman"/>
                                  <w:i/>
                                  <w:iCs/>
                                  <w:noProof/>
                                  <w:sz w:val="24"/>
                                  <w:szCs w:val="24"/>
                                  <w:lang w:eastAsia="x-none"/>
                                </w:rPr>
                                <w:t>p</w:t>
                              </w:r>
                              <w:r>
                                <w:rPr>
                                  <w:rFonts w:ascii="Times New Roman" w:hAnsi="Times New Roman" w:cs="Times New Roman"/>
                                  <w:noProof/>
                                  <w:sz w:val="24"/>
                                  <w:szCs w:val="24"/>
                                  <w:lang w:eastAsia="x-none"/>
                                </w:rPr>
                                <w:t>-phenylene terephthalamide),</w:t>
                              </w:r>
                            </w:p>
                          </w:tc>
                        </w:tr>
                        <w:tr w:rsidR="00D74962">
                          <w:tc>
                            <w:tcPr>
                              <w:tcW w:w="4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 –</w:t>
                              </w:r>
                            </w:p>
                          </w:tc>
                          <w:tc>
                            <w:tcPr>
                              <w:tcW w:w="298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glass fibre yarn, coated with phenol resin and gimped with acrylic yarn</w:t>
                              </w:r>
                              <w:hyperlink r:id="rId67" w:anchor="ntr8-L_2013054EN.01003001-E0008"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8</w:t>
                                </w:r>
                                <w:r>
                                  <w:rPr>
                                    <w:rFonts w:ascii="Times New Roman" w:hAnsi="Times New Roman" w:cs="Times New Roman"/>
                                    <w:noProof/>
                                    <w:color w:val="800080"/>
                                    <w:sz w:val="24"/>
                                    <w:szCs w:val="24"/>
                                    <w:lang w:eastAsia="x-none"/>
                                  </w:rPr>
                                  <w:t>)</w:t>
                                </w:r>
                              </w:hyperlink>
                              <w:r>
                                <w:rPr>
                                  <w:rFonts w:ascii="Times New Roman" w:hAnsi="Times New Roman" w:cs="Times New Roman"/>
                                  <w:noProof/>
                                  <w:sz w:val="24"/>
                                  <w:szCs w:val="24"/>
                                  <w:lang w:eastAsia="x-none"/>
                                </w:rPr>
                                <w:t>,</w:t>
                              </w:r>
                            </w:p>
                          </w:tc>
                        </w:tr>
                        <w:tr w:rsidR="00D74962">
                          <w:tc>
                            <w:tcPr>
                              <w:tcW w:w="4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w:t>
                              </w:r>
                            </w:p>
                          </w:tc>
                          <w:tc>
                            <w:tcPr>
                              <w:tcW w:w="298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copolyester monofilaments of a polyester and a resin of terephthalic acid and 1,4-cyclohexanediethanol and isophthalic acid,</w:t>
                              </w:r>
                            </w:p>
                          </w:tc>
                        </w:tr>
                        <w:tr w:rsidR="00D74962">
                          <w:tc>
                            <w:tcPr>
                              <w:tcW w:w="74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w:t>
                              </w:r>
                            </w:p>
                          </w:tc>
                          <w:tc>
                            <w:tcPr>
                              <w:tcW w:w="264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4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w:t>
                              </w:r>
                            </w:p>
                          </w:tc>
                          <w:tc>
                            <w:tcPr>
                              <w:tcW w:w="298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processed for spinning, or</w:t>
                              </w:r>
                            </w:p>
                          </w:tc>
                        </w:tr>
                        <w:tr w:rsidR="00D74962">
                          <w:tc>
                            <w:tcPr>
                              <w:tcW w:w="4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w:t>
                              </w:r>
                            </w:p>
                          </w:tc>
                          <w:tc>
                            <w:tcPr>
                              <w:tcW w:w="298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68"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8"/>
                    <w:gridCol w:w="383"/>
                    <w:gridCol w:w="224"/>
                    <w:gridCol w:w="2883"/>
                  </w:tblGrid>
                  <w:tr w:rsidR="00D74962">
                    <w:tc>
                      <w:tcPr>
                        <w:tcW w:w="970"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8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coir yarn,</w:t>
                        </w:r>
                      </w:p>
                    </w:tc>
                  </w:tr>
                  <w:tr w:rsidR="00D74962">
                    <w:tc>
                      <w:tcPr>
                        <w:tcW w:w="74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processed for spinning, or</w:t>
                        </w:r>
                      </w:p>
                    </w:tc>
                  </w:tr>
                  <w:tr w:rsidR="00D74962">
                    <w:tc>
                      <w:tcPr>
                        <w:tcW w:w="36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0"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Chapter 60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Knitted or crocheted fabrics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w:t>
            </w:r>
            <w:hyperlink r:id="rId69"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8"/>
              <w:gridCol w:w="383"/>
              <w:gridCol w:w="3107"/>
            </w:tblGrid>
            <w:tr w:rsidR="00D74962">
              <w:tc>
                <w:tcPr>
                  <w:tcW w:w="74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processed for spinning, or</w:t>
                  </w:r>
                </w:p>
              </w:tc>
            </w:tr>
            <w:tr w:rsidR="00D74962">
              <w:tc>
                <w:tcPr>
                  <w:tcW w:w="36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61</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81"/>
              <w:gridCol w:w="1315"/>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apparel and clothing accessories, knitted or crocheted:</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Obtained by sewing together or otherwise assembling, two or more pieces of knitted or crocheted fabric which have been either cut to form or obtained directly to form</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yarn</w:t>
                  </w:r>
                  <w:hyperlink r:id="rId70"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 </w:t>
                  </w:r>
                  <w:hyperlink r:id="rId71"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72"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8"/>
                    <w:gridCol w:w="383"/>
                    <w:gridCol w:w="3107"/>
                  </w:tblGrid>
                  <w:tr w:rsidR="00D74962">
                    <w:tc>
                      <w:tcPr>
                        <w:tcW w:w="74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10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processed for spinning, or</w:t>
                        </w:r>
                      </w:p>
                    </w:tc>
                  </w:tr>
                  <w:tr w:rsidR="00D74962">
                    <w:tc>
                      <w:tcPr>
                        <w:tcW w:w="36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Chapter 62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apparel and clothing accessories, not knitted or crocheted; except for:</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yarn</w:t>
            </w:r>
            <w:hyperlink r:id="rId73"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 </w:t>
            </w:r>
            <w:hyperlink r:id="rId74"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ex6202, ex ex6204, ex ex6206, ex ex6209 and ex ex6211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Women</w:t>
            </w:r>
            <w:r>
              <w:rPr>
                <w:rFonts w:ascii="Times New Roman" w:eastAsia="Times New Roman" w:hAnsi="Times New Roman" w:cs="Times New Roman"/>
                <w:noProof/>
                <w:color w:val="444444"/>
                <w:lang w:eastAsia="x-none"/>
              </w:rPr>
              <w:t>’s, girls’ and babies’ clothing and clothing accessories for babies, embroidered</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yarn</w:t>
            </w:r>
            <w:hyperlink r:id="rId75"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unembroidered fabric, provided that the value of the unembroidered fabric used does not exceed 40 % of the ex-works price of the product</w:t>
            </w:r>
            <w:hyperlink r:id="rId76"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ex6210 and ex ex6216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Fire-resistant equipment of fabric covered with foil of aluminised polyester</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yarn</w:t>
            </w:r>
            <w:hyperlink r:id="rId77"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uncoated fabric, provided that the value of the uncoated fabric used does not exceed 40 % of the ex-works price of the product</w:t>
            </w:r>
            <w:hyperlink r:id="rId78"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6213 and 6214</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92"/>
              <w:gridCol w:w="1304"/>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Handkerchiefs, shawls, scarves, mufflers, mantillas, veils and the like:</w:t>
                  </w:r>
                </w:p>
              </w:tc>
              <w:tc>
                <w:tcPr>
                  <w:tcW w:w="3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0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Embroidered</w:t>
                  </w:r>
                </w:p>
              </w:tc>
              <w:tc>
                <w:tcPr>
                  <w:tcW w:w="3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unbleached single yarn</w:t>
                  </w:r>
                  <w:hyperlink r:id="rId79"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 </w:t>
                  </w:r>
                  <w:hyperlink r:id="rId80"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unembroidered fabric, provided that the value of the unembroidered fabric used does not exceed 40 % of the ex-works price of the product</w:t>
                  </w:r>
                  <w:hyperlink r:id="rId81"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tc>
              <w:tc>
                <w:tcPr>
                  <w:tcW w:w="130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unbleached single yarn</w:t>
                  </w:r>
                  <w:hyperlink r:id="rId82"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 </w:t>
                  </w:r>
                  <w:hyperlink r:id="rId83"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Making up, followed by printing accompanied by at least two preparatory or finishing operations (such as scouring, bleaching, mercerising, heat setting, raising, calendering, shrink resistance processing, permanent finishing, decatising, impregnating, mending and burling), provided that the value of all the unprinted </w:t>
                  </w:r>
                  <w:r>
                    <w:rPr>
                      <w:rFonts w:ascii="Times New Roman" w:hAnsi="Times New Roman" w:cs="Times New Roman"/>
                      <w:noProof/>
                      <w:color w:val="444444"/>
                      <w:lang w:eastAsia="x-none"/>
                    </w:rPr>
                    <w:lastRenderedPageBreak/>
                    <w:t>goods of headings 6213 and 6214 used does not exceed 47.5 % of the ex-works price of the product</w:t>
                  </w:r>
                </w:p>
              </w:tc>
              <w:tc>
                <w:tcPr>
                  <w:tcW w:w="130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6217</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92"/>
              <w:gridCol w:w="1304"/>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Other made up clothing accessories; parts of garments or of clothing accessories, other than those of heading 6212:</w:t>
                  </w:r>
                </w:p>
              </w:tc>
              <w:tc>
                <w:tcPr>
                  <w:tcW w:w="3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0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Embroidered</w:t>
                  </w:r>
                </w:p>
              </w:tc>
              <w:tc>
                <w:tcPr>
                  <w:tcW w:w="3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yarn</w:t>
                  </w:r>
                  <w:hyperlink r:id="rId84"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unembroidered fabric, provided that the value of the unembroidered fabric used does not exceed 40 % of the ex-works price of the product</w:t>
                  </w:r>
                  <w:hyperlink r:id="rId85"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tc>
              <w:tc>
                <w:tcPr>
                  <w:tcW w:w="130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Fire-resistant equipment of fabric covered with foil of aluminised polyester</w:t>
                  </w:r>
                </w:p>
              </w:tc>
              <w:tc>
                <w:tcPr>
                  <w:tcW w:w="3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yarn</w:t>
                  </w:r>
                  <w:hyperlink r:id="rId86"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uncoated fabric, provided that the value of the uncoated fabric used does not exceed 40 % of the ex-works price of the product</w:t>
                  </w:r>
                  <w:hyperlink r:id="rId87"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tc>
              <w:tc>
                <w:tcPr>
                  <w:tcW w:w="130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Interlinings for collars and cuffs, cut out</w:t>
                  </w:r>
                </w:p>
              </w:tc>
              <w:tc>
                <w:tcPr>
                  <w:tcW w:w="3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0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yarn</w:t>
                  </w:r>
                  <w:hyperlink r:id="rId88"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tc>
              <w:tc>
                <w:tcPr>
                  <w:tcW w:w="130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63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made-up textile articles; sets; worn clothing and worn textile articles; rags; except for:</w:t>
            </w:r>
          </w:p>
        </w:tc>
        <w:tc>
          <w:tcPr>
            <w:tcW w:w="395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38"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6301 to 6304</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81"/>
              <w:gridCol w:w="1315"/>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Blankets, travelling rugs, bed linen etc.; curtains etc.; other furnishing articles:</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Of felt, of non-wovens</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89"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63"/>
                    <w:gridCol w:w="288"/>
                    <w:gridCol w:w="3202"/>
                  </w:tblGrid>
                  <w:tr w:rsidR="00D74962">
                    <w:tc>
                      <w:tcPr>
                        <w:tcW w:w="651"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20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 or</w:t>
                        </w:r>
                      </w:p>
                    </w:tc>
                  </w:tr>
                  <w:tr w:rsidR="00D74962">
                    <w:tc>
                      <w:tcPr>
                        <w:tcW w:w="36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 Embroidered</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unbleached single yarn</w:t>
                  </w:r>
                  <w:hyperlink r:id="rId90"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 </w:t>
                  </w:r>
                  <w:hyperlink r:id="rId91" w:anchor="ntr10-L_2013054EN.01003001-E0010"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10</w:t>
                    </w:r>
                    <w:r>
                      <w:rPr>
                        <w:rFonts w:ascii="Times New Roman" w:hAnsi="Times New Roman" w:cs="Times New Roman"/>
                        <w:noProof/>
                        <w:color w:val="800080"/>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unembroidered fabric (other than knitted or crocheted), provided that the value of the unembroidered fabric used does not exceed 40 % of the ex-works price of the product</w:t>
                  </w: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Other</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unbleached single yarn</w:t>
                  </w:r>
                  <w:hyperlink r:id="rId92"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 </w:t>
                  </w:r>
                  <w:hyperlink r:id="rId93" w:anchor="ntr10-L_2013054EN.01003001-E0010"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10</w:t>
                    </w:r>
                    <w:r>
                      <w:rPr>
                        <w:rFonts w:ascii="Times New Roman" w:hAnsi="Times New Roman" w:cs="Times New Roman"/>
                        <w:noProof/>
                        <w:color w:val="800080"/>
                        <w:lang w:eastAsia="x-none"/>
                      </w:rPr>
                      <w:t>)</w:t>
                    </w:r>
                  </w:hyperlink>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6305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Sacks and bags, of a kind used for the packing of goods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w:t>
            </w:r>
            <w:hyperlink r:id="rId94"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18"/>
              <w:gridCol w:w="383"/>
              <w:gridCol w:w="3107"/>
            </w:tblGrid>
            <w:tr w:rsidR="00D74962">
              <w:tc>
                <w:tcPr>
                  <w:tcW w:w="746"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10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man-made staple fibres, not carded or combed or otherwise processed for spinning, or</w:t>
                  </w:r>
                </w:p>
              </w:tc>
            </w:tr>
            <w:tr w:rsidR="00D74962">
              <w:tc>
                <w:tcPr>
                  <w:tcW w:w="363"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6306</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Tarpaulins, awnings and sunblinds; tents; sails for boats, sailboards or landcraft; camping goods: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Of non-wovens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w:t>
                  </w:r>
                  <w:hyperlink r:id="rId95"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 </w:t>
                  </w:r>
                  <w:hyperlink r:id="rId96"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63"/>
                    <w:gridCol w:w="288"/>
                    <w:gridCol w:w="3202"/>
                  </w:tblGrid>
                  <w:tr w:rsidR="00D74962">
                    <w:tc>
                      <w:tcPr>
                        <w:tcW w:w="651"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20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natural fibres, or</w:t>
                        </w:r>
                      </w:p>
                    </w:tc>
                  </w:tr>
                  <w:tr w:rsidR="00D74962">
                    <w:tc>
                      <w:tcPr>
                        <w:tcW w:w="36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49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chemical materials or textile pulp</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unbleached single yarn</w:t>
                  </w:r>
                  <w:hyperlink r:id="rId97" w:anchor="ntr7-L_2013054EN.01003001-E0007"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7</w:t>
                    </w:r>
                    <w:r>
                      <w:rPr>
                        <w:rFonts w:ascii="Times New Roman" w:hAnsi="Times New Roman" w:cs="Times New Roman"/>
                        <w:noProof/>
                        <w:color w:val="800080"/>
                        <w:lang w:eastAsia="x-none"/>
                      </w:rPr>
                      <w:t>)</w:t>
                    </w:r>
                  </w:hyperlink>
                  <w:r>
                    <w:rPr>
                      <w:rFonts w:ascii="Times New Roman" w:hAnsi="Times New Roman" w:cs="Times New Roman"/>
                      <w:noProof/>
                      <w:color w:val="444444"/>
                      <w:lang w:eastAsia="x-none"/>
                    </w:rPr>
                    <w:t> </w:t>
                  </w:r>
                  <w:hyperlink r:id="rId98"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6307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made-up articles, including dress patterns</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6308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Sets consisting of woven fabric and yarn, whether or not with accessories, for making up into rugs, tapestries, embroidered table cloths or serviettes, or similar textile articles, put up in packings for retail sale</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Each item in the set must satisfy the rule which would apply to it if it were not included in the set. However, non-originating articles may be incorporated, provided that their total value does not exceed 15 % of the ex-works price of the set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64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Footwear, gaiters and the like; parts of such articles; except for:</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from assemblies of uppers affixed to inner soles or to other sole components of heading 6406</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6406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Parts of footwear (including uppers </w:t>
            </w:r>
            <w:r>
              <w:rPr>
                <w:rFonts w:ascii="Times New Roman" w:hAnsi="Times New Roman" w:cs="Times New Roman"/>
                <w:noProof/>
                <w:color w:val="444444"/>
                <w:lang w:eastAsia="x-none"/>
              </w:rPr>
              <w:lastRenderedPageBreak/>
              <w:t>whether or not attached to soles other than outer soles); removable in-soles, heel cushions and similar articles; gaiters, leggings and similar articles, and parts thereof</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from materials of any heading, except that of the product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65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Headgear and parts thereof; except for:</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6505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Hats and other headgear, knitted or crocheted, or made up from lace, felt or other textile fabric, in the piece (but not in strips), whether or not lined or trimmed; hair-nets of any material, whether or not lined or trimmed</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yarn or textile fibres</w:t>
            </w:r>
            <w:hyperlink r:id="rId99" w:anchor="ntr9-L_2013054EN.01003001-E0009"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9</w:t>
              </w:r>
              <w:r>
                <w:rPr>
                  <w:rFonts w:ascii="Times New Roman" w:hAnsi="Times New Roman" w:cs="Times New Roman"/>
                  <w:noProof/>
                  <w:color w:val="800080"/>
                  <w:lang w:eastAsia="x-none"/>
                </w:rPr>
                <w:t>)</w:t>
              </w:r>
            </w:hyperlink>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66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Umbrellas, sun umbrellas, walking-sticks, seat-sticks, whips, riding-crops, and parts thereof; except for:</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6601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Umbrellas and sun umbrellas (including walking-stick umbrellas, garden umbrellas and similar umbrellas)</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67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Prepared feathers and down and articles made of feathers or of down; artificial flowers; articles of human hair</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68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stone, plaster, cement, asbestos, mica or similar materials; except for:</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ex6803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slate or of agglomerated slate</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worked slate</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ex6812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asbestos; articles of mixtures with a basis of asbestos or of mixtures with a basis of asbestos and magnesium carbonate</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ex6814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mica, including agglomerated or reconstituted mica, on a support of paper, paperboard or other materials</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worked mica (including agglomerated or reconstituted mica)</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69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Ceramic products</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70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Glass and glassware; except for:</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ex7003, ex ex7004 and ex ex7005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Glass with a non-reflecting layer</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heading 7001</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7006</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92"/>
              <w:gridCol w:w="1304"/>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Glass of heading 7003, 7004 or 7005, bent, edge-worked, engraved, drilled, enamelled or otherwise worked, but not framed or fitted with other materials:</w:t>
                  </w:r>
                </w:p>
              </w:tc>
              <w:tc>
                <w:tcPr>
                  <w:tcW w:w="3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0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 Glass-plate substrates, coated with a dielectric thin film, and of a semiconductor grade in accordance with SEMII-standards</w:t>
                  </w:r>
                  <w:hyperlink r:id="rId100" w:anchor="ntr11-L_2013054EN.01003001-E0011"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11</w:t>
                    </w:r>
                    <w:r>
                      <w:rPr>
                        <w:rFonts w:ascii="Times New Roman" w:hAnsi="Times New Roman" w:cs="Times New Roman"/>
                        <w:noProof/>
                        <w:color w:val="800080"/>
                        <w:lang w:eastAsia="x-none"/>
                      </w:rPr>
                      <w:t>)</w:t>
                    </w:r>
                  </w:hyperlink>
                </w:p>
              </w:tc>
              <w:tc>
                <w:tcPr>
                  <w:tcW w:w="3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non-coated glass-plate substrate of heading 7006</w:t>
                  </w:r>
                </w:p>
              </w:tc>
              <w:tc>
                <w:tcPr>
                  <w:tcW w:w="130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heading 7001</w:t>
                  </w:r>
                </w:p>
              </w:tc>
              <w:tc>
                <w:tcPr>
                  <w:tcW w:w="130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7007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Safety glass, consisting of toughened (tempered) or laminated glass</w:t>
            </w:r>
          </w:p>
        </w:tc>
        <w:tc>
          <w:tcPr>
            <w:tcW w:w="402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heading 7001</w:t>
            </w:r>
          </w:p>
        </w:tc>
        <w:tc>
          <w:tcPr>
            <w:tcW w:w="127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7008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Multiple-walled insulating units of glass</w:t>
            </w:r>
          </w:p>
        </w:tc>
        <w:tc>
          <w:tcPr>
            <w:tcW w:w="402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heading 7001</w:t>
            </w:r>
          </w:p>
        </w:tc>
        <w:tc>
          <w:tcPr>
            <w:tcW w:w="127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7009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Glass mirrors, whether or not framed, including rear-view mirrors</w:t>
            </w:r>
          </w:p>
        </w:tc>
        <w:tc>
          <w:tcPr>
            <w:tcW w:w="402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heading 7001</w:t>
            </w:r>
          </w:p>
        </w:tc>
        <w:tc>
          <w:tcPr>
            <w:tcW w:w="127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7010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Carboys, bottles, flasks, jars, pots, phials, ampoules and other containers, of glass, of a kind used for the conveyance or packing of goods; preserving jars of </w:t>
            </w:r>
            <w:r>
              <w:rPr>
                <w:rFonts w:ascii="Times New Roman" w:hAnsi="Times New Roman" w:cs="Times New Roman"/>
                <w:noProof/>
                <w:color w:val="444444"/>
                <w:lang w:eastAsia="x-none"/>
              </w:rPr>
              <w:lastRenderedPageBreak/>
              <w:t>glass; stoppers, lids and other closures, of glass</w:t>
            </w:r>
          </w:p>
        </w:tc>
        <w:tc>
          <w:tcPr>
            <w:tcW w:w="402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from materials of any heading, except that of the product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Cutting of glassware, provided that the total value of the uncut glassware used does not exceed 50 % of the ex-works price of the product</w:t>
            </w:r>
          </w:p>
        </w:tc>
        <w:tc>
          <w:tcPr>
            <w:tcW w:w="127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7013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Glassware of a kind used for table, kitchen, toilet, office, indoor decoration or similar purposes (other than that of heading 7010 or 7018)</w:t>
            </w:r>
          </w:p>
        </w:tc>
        <w:tc>
          <w:tcPr>
            <w:tcW w:w="402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Cutting of glassware, provided that the total value of the uncut glassware used does not exceed 50 % of the ex-works price of the product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Hand-decoration (except silk-screen printing) of hand-blown glassware, provided that the total value of the hand-blown glassware used does not exceed 50 % of the ex-works price of the product</w:t>
            </w:r>
          </w:p>
        </w:tc>
        <w:tc>
          <w:tcPr>
            <w:tcW w:w="127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ex7019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(other than yarn) of glass fibres</w:t>
            </w:r>
          </w:p>
        </w:tc>
        <w:tc>
          <w:tcPr>
            <w:tcW w:w="402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559"/>
              <w:gridCol w:w="2949"/>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uncoloured slivers, rovings, yarn or chopped strands, or</w:t>
                  </w:r>
                </w:p>
              </w:tc>
            </w:tr>
            <w:tr w:rsidR="00D74962">
              <w:tc>
                <w:tcPr>
                  <w:tcW w:w="90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294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glass wool</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7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71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Natural or cultured pearls, precious or semi-precious stones, precious metals, metals clad with precious metal, and articles thereof; imitation jewellery; coin; except for:</w:t>
            </w:r>
          </w:p>
        </w:tc>
        <w:tc>
          <w:tcPr>
            <w:tcW w:w="402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27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ex7101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Natural or cultured pearls, graded and temporarily strung for convenience of transport</w:t>
            </w:r>
          </w:p>
        </w:tc>
        <w:tc>
          <w:tcPr>
            <w:tcW w:w="402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27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ex7102, ex ex7103 and ex ex7104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Worked precious or semi-precious stones (natural, synthetic or reconstructed)</w:t>
            </w:r>
          </w:p>
        </w:tc>
        <w:tc>
          <w:tcPr>
            <w:tcW w:w="402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unworked precious or semi-precious stones</w:t>
            </w:r>
          </w:p>
        </w:tc>
        <w:tc>
          <w:tcPr>
            <w:tcW w:w="127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7106, 7108 and 7110</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Precious metals: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Unwrought</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those of headings 7106, 7108 and 7110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Electrolytic, thermal or chemical separation of precious metals of heading 7106, 7108 or 7110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Alloying of precious metals of heading 7106, 7108 or 7110 with each other or with base metals</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Semi-manufactured or in powder form</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unwrought precious metals</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ex7107, ex ex7109 and ex ex7111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Metals clad with precious metals, semi-manufactured</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metals clad with precious metals, unwrought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7116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natural or cultured pearls, precious or semi-precious stones (natural, synthetic or reconstructed)</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7117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Imitation jewellery</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base metal parts, not plated or covered with precious metals, provided that the value of all the materials used does not exceed 50 % of the ex-works price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72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Iron and steel; except for:</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7207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Semi-finished products of iron or non-alloy steel</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heading 7201, 7202, 7203, 7204 or 7205</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7208 to 7216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Flat-rolled products, bars and rods, angles, shapes and sections of iron or non-alloy steel</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ingots or other primary forms of heading 7206</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7217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Wire of iron or non-alloy steel</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semi-finished materials of heading 7207</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ex7218, 7219 to 7222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Semi-finished products, flat-rolled products, bars and rods, angles, shapes and sections of stainless steel</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ingots or other primary forms of heading 7218</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7223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Wire of stainless steel</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semi-finished materials of heading 7218</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ex7224, 7225 to 7228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Semi-finished products, flat-rolled products, hot-rolled bars and rods, in irregularly wound coils; angles, shapes and sections, of other alloy </w:t>
            </w:r>
            <w:r>
              <w:rPr>
                <w:rFonts w:ascii="Times New Roman" w:hAnsi="Times New Roman" w:cs="Times New Roman"/>
                <w:noProof/>
                <w:color w:val="444444"/>
                <w:lang w:eastAsia="x-none"/>
              </w:rPr>
              <w:lastRenderedPageBreak/>
              <w:t>steel; hollow drill bars and rods, of alloy or non-alloy steel</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from ingots or other primary forms of heading 7206, 7218 or 7224</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7229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Wire of other alloy steel</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semi-finished materials of heading 7224</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73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iron or steel; except for:</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ex7301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Sheet piling</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heading 7206</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7302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Railway or tramway track construction material of iron or steel, the following: rails, check-rails and rack rails, switch blades, crossing frogs, point rods and other crossing pieces, sleepers (cross-ties), fish-plates, chairs, chair wedges, sole plates (base plates), rail clips, bedplates, ties and other material specialised for jointing or fixing rails</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heading 7206</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7304, 7305 and 7306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Tubes, pipes and hollow profiles, of iron (other than cast iron) or steel</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heading 7206, 7207, 7218 or 7224</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ex7307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Tube or pipe fittings of stainless steel (ISO No X5CrNiMo 1712), consisting of several parts</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Turning, drilling, reaming, threading, deburring and sandblasting of forged blanks, provided that the total value of the forged blanks used does not exceed 35 % of the ex-works price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7308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Structures (excluding prefabricated buildings of heading 9406) and parts of structures (for example, bridges and bridge-sections, lock-gates, towers, lattice masts, roofs, roofing frameworks, doors and windows and their frames and thresholds for doors, shutters, balustrades, pillars and columns), of iron or </w:t>
            </w:r>
            <w:r>
              <w:rPr>
                <w:rFonts w:ascii="Times New Roman" w:hAnsi="Times New Roman" w:cs="Times New Roman"/>
                <w:noProof/>
                <w:color w:val="444444"/>
                <w:lang w:eastAsia="x-none"/>
              </w:rPr>
              <w:lastRenderedPageBreak/>
              <w:t>steel; plates, rods, angles, shapes, sections, tubes and the like, prepared for use in structures, of iron or steel</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from materials of any heading, except that of the product. However, welded angles, shapes and sections of heading 7301 may not be used</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ex7315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Skid chain</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of heading 7315 used does not exceed 50 % of the ex-works price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74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Copper and articles thereof; except for:</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7401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Copper mattes; cement copper (precipitated copper)</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7402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Unrefined copper; copper anodes for electrolytic refining</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7403</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Refined copper and copper alloys, unwrought:</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Refined copper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Copper alloys and refined copper containing other elements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refined copper, unwrought, or waste and scrap of copper</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7404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Copper waste and scrap</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7405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Master alloys of copper</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75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Nickel and articles thereof; except for:</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7501 to 7503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Nickel mattes, nickel oxide sinters and other intermediate products of nickel metallurgy; unwrought nickel; nickel waste and scrap</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76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Aluminium and articles thereof; except for:</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7601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Unwrought aluminium</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by thermal or electrolytic treatment from unalloyed aluminium or waste and scrap of aluminium</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7602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Aluminium waste or scrap</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ex7616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Aluminium articles other than gauze, cloth, grill, netting, fencing, reinforcing fabric and similar materials (including endless bands) of aluminium wire, and expanded metal of aluminium</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However, gauze, cloth, grill, netting, fencing, reinforcing fabric and similar materials (including endless bands) of aluminium wire, or expanded metal of aluminium may be used;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77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Reserved for possible future use in the HS</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Chapter 78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Lead and articles thereof; except for:</w:t>
            </w:r>
          </w:p>
        </w:tc>
        <w:tc>
          <w:tcPr>
            <w:tcW w:w="398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1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7801</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81"/>
              <w:gridCol w:w="1315"/>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Unwrought lead:</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Refined lead</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‘bullion’ or ‘work’ lead</w:t>
                  </w: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 However, waste and scrap of heading 7802 may not be used</w:t>
                  </w: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7802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Lead waste and scrap</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79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Zinc and articles thereof; except for:</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7901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Unwrought zinc</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waste and scrap of heading 7902 may not be used</w:t>
            </w: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7902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Zinc waste and scrap</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80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Tin and articles thereof; except for:</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8001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Unwrought tin</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waste and scrap of heading 8002 may not be used</w:t>
            </w: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8002 and 8007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Tin waste and scrap; other articles of tin</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Chapter 81</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base metals; cermets; articles thereof:</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 base metals, wrought; articles thereof</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of the same heading as the product used does not exceed 50 %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82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Tools, implements, cutlery, spoons and forks, of base metal; parts thereof of base metal; except for:</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8206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Tools of two or more of the headings 8202 to 8205, put up in sets for retail sale</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those of headings 8202 to 8205. However, tools of headings 8202 to 8205 may be incorporated into the set, provided that their total value does not exceed 15 % of the ex-works price of the set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8207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Interchangeable tools for hand tools, whether or not power-operated, or for machine-tools (for example, for pressing, stamping, punching, tapping, threading, drilling, boring, broaching, milling, turning, or screwdriving), including dies for drawing or extruding metal, and rock drilling or earth boring tools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8208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Knives and cutting blades, for machines or for mechanical appliances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ex8211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Knives with cutting blades, serrated or not (including pruning </w:t>
            </w:r>
            <w:r>
              <w:rPr>
                <w:rFonts w:ascii="Times New Roman" w:hAnsi="Times New Roman" w:cs="Times New Roman"/>
                <w:noProof/>
                <w:color w:val="444444"/>
                <w:lang w:eastAsia="x-none"/>
              </w:rPr>
              <w:lastRenderedPageBreak/>
              <w:t>knives), other than knives of heading 8208</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from materials of any heading, except that of the product. However, knife blades and handles of base metal may be used</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8214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Other articles of cutlery (for example, hair clippers, butchers</w:t>
            </w:r>
            <w:r>
              <w:rPr>
                <w:rFonts w:ascii="Times New Roman" w:eastAsia="Times New Roman" w:hAnsi="Times New Roman" w:cs="Times New Roman"/>
                <w:noProof/>
                <w:color w:val="444444"/>
                <w:lang w:eastAsia="x-none"/>
              </w:rPr>
              <w:t>’ or kitchen cleavers, choppers and mincing knives, paper knives); manicure or pedicure sets and instruments (including nail files)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 However, handles of base metal may be used</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8215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Spoons, forks, ladles, skimmers, cake-servers, fish-knives, butter-knives, sugar tongs and similar kitchen or tableware</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handles of base metal may be used</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83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Miscellaneous articles of base metal; except for:</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ex8302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mountings, fittings and similar articles suitable for buildings, and automatic door closers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other materials of heading 8302 may be used, provided that their total value does not exceed 20 %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ex8306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Statuettes and other ornaments, of base metal</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other materials of heading 8306 may be used, provided that their total value does not exceed 30 %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84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Nuclear reactors, boilers, machinery and mechanical appliances; parts thereof; except for:</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ex8401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Nuclear fuel elements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hyperlink r:id="rId101" w:anchor="ntr12-L_2013054EN.01003001-E0012"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12</w:t>
              </w:r>
              <w:r>
                <w:rPr>
                  <w:rFonts w:ascii="Times New Roman" w:hAnsi="Times New Roman" w:cs="Times New Roman"/>
                  <w:noProof/>
                  <w:color w:val="800080"/>
                  <w:lang w:eastAsia="x-none"/>
                </w:rPr>
                <w:t>)</w:t>
              </w:r>
            </w:hyperlink>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Manufacture in which the value of all the materials used does </w:t>
            </w:r>
            <w:r>
              <w:rPr>
                <w:rFonts w:ascii="Times New Roman" w:hAnsi="Times New Roman" w:cs="Times New Roman"/>
                <w:noProof/>
                <w:color w:val="444444"/>
                <w:lang w:eastAsia="x-none"/>
              </w:rPr>
              <w:lastRenderedPageBreak/>
              <w:t>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8402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Steam or other vapour generating boilers (other than central heating hot water boilers capable also of producing low pressure steam); super-heated water boilers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8403 and ex ex8404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Central heating boilers other than those of heading 8402 and auxiliary plant for central heating boilers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those of headings 8403 and 8404</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Steam turbines and other vapour turbines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Spark-ignition reciprocating or rotary internal combustion piston engines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8408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Compression-ignition internal combustion piston engines (diesel or semi-diesel engines)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8409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Parts suitable for use solely or principally with the engines of heading 8407 or 8408</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8411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Turbo-jets, turbo-propellers and other gas turbines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xml:space="preserve">in which the value of all the materials used does not exceed </w:t>
                  </w:r>
                  <w:r>
                    <w:rPr>
                      <w:rFonts w:ascii="Times New Roman" w:eastAsia="Times New Roman" w:hAnsi="Times New Roman" w:cs="Times New Roman"/>
                      <w:noProof/>
                      <w:sz w:val="24"/>
                      <w:szCs w:val="24"/>
                      <w:lang w:eastAsia="x-none"/>
                    </w:rPr>
                    <w:lastRenderedPageBreak/>
                    <w:t>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 xml:space="preserve">Manufacture in which the value of all the materials used does not exceed </w:t>
            </w:r>
            <w:r>
              <w:rPr>
                <w:rFonts w:ascii="Times New Roman" w:hAnsi="Times New Roman" w:cs="Times New Roman"/>
                <w:noProof/>
                <w:color w:val="444444"/>
                <w:lang w:eastAsia="x-none"/>
              </w:rPr>
              <w:lastRenderedPageBreak/>
              <w:t>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8412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engines and motors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ex8413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Rotary positive displacement pumps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ex8414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Industrial fans, blowers and the like</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8415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Air conditioning machines, comprising a motor-driven fan and elements for changing the temperature and humidity, including those machines in which the humidity cannot be separately regulated</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8418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Refrigerators, freezers and other refrigerating or freezing equipment, electric or other; heat pumps other than air conditioning machines of heading 8415</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xml:space="preserve">in which the value of all the non-originating materials used does not </w:t>
                  </w:r>
                  <w:r>
                    <w:rPr>
                      <w:rFonts w:ascii="Times New Roman" w:eastAsia="Times New Roman" w:hAnsi="Times New Roman" w:cs="Times New Roman"/>
                      <w:noProof/>
                      <w:sz w:val="24"/>
                      <w:szCs w:val="24"/>
                      <w:lang w:eastAsia="x-none"/>
                    </w:rPr>
                    <w:lastRenderedPageBreak/>
                    <w:t>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in which the value of all the materials used does not exceed 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ex8419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Machines for wood, paper pulp, paper and paperboard industries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the same heading as the product used does not exceed 25 %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8420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Calendering or other rolling machines, other than for metals or glass, and cylinders therefore</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the same heading as the product used does not exceed 25 %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8423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Weighing machinery (excluding balances of a sensitivity of 5 cg or better), including weight operated counting or checking machines; weighing machine weights of all kinds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8425 to 8428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Lifting, handling, loading or unloading machinery</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 8431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8429</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Self-propelled bulldozers, angledozers, graders, levellers, scrapers, </w:t>
                  </w:r>
                  <w:r>
                    <w:rPr>
                      <w:rFonts w:ascii="Times New Roman" w:hAnsi="Times New Roman" w:cs="Times New Roman"/>
                      <w:noProof/>
                      <w:color w:val="444444"/>
                      <w:lang w:eastAsia="x-none"/>
                    </w:rPr>
                    <w:lastRenderedPageBreak/>
                    <w:t>mechanical shovels, excavators, shovel loaders, tamping machines and road rollers: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Road rollers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 8431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bl>
          <w:p w:rsidR="00D74962" w:rsidRDefault="00D74962">
            <w:pPr>
              <w:widowControl w:val="0"/>
              <w:spacing w:after="0" w:line="240" w:lineRule="auto"/>
              <w:rPr>
                <w:rFonts w:ascii="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8430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moving, grading, levelling, scraping, excavating, tamping, compacting, extracting or boring machinery, for earth, minerals or ores; pile-drivers and pile-extractors; snow-ploughs and snow-blowers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 8431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ex8431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Parts suitable for use solely or principally with road rollers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8439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Machinery for making pulp of fibrous cellulosic material or for making or finishing paper or paperboard</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the same heading as the product used does not exceed 25 %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8441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machinery for making up paper pulp, paper or paperboard, including cutting machines of all kinds</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the same heading as the product used does not exceed 25 %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 xml:space="preserve">Manufacture in which the value of all the materials used does not </w:t>
            </w:r>
            <w:r>
              <w:rPr>
                <w:rFonts w:ascii="Times New Roman" w:hAnsi="Times New Roman" w:cs="Times New Roman"/>
                <w:noProof/>
                <w:color w:val="444444"/>
                <w:lang w:eastAsia="x-none"/>
              </w:rPr>
              <w:lastRenderedPageBreak/>
              <w:t>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ex8443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Printers, for office machines (for example automatic data processing machines, word-processing machines, etc.)</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8444 to 8447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Machines of these headings for use in the textile industry</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ex8448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Auxiliary machinery for use with machines of headings 8444 and 8445</w:t>
            </w:r>
          </w:p>
        </w:tc>
        <w:tc>
          <w:tcPr>
            <w:tcW w:w="3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322"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8452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4014"/>
              <w:gridCol w:w="128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Sewing machines, other than book-sewing machines of heading 8440; furniture, bases and covers specially designed for sewing machines; sewing machine needles:</w:t>
                  </w:r>
                </w:p>
              </w:tc>
              <w:tc>
                <w:tcPr>
                  <w:tcW w:w="401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28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Sewing machines (lock stitch only) with heads of a weight not exceeding 16 kg without motor or 17 kg with motor</w:t>
                  </w:r>
                </w:p>
              </w:tc>
              <w:tc>
                <w:tcPr>
                  <w:tcW w:w="401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in assembling the head (without motor) does not exceed the value of all the originating materials used,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thread-tension, crochet and zigzag mechanisms used are originating</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8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401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c>
                <w:tcPr>
                  <w:tcW w:w="128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8456 to 8466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Machine-tools and machines and their parts and accessories of headings 8456 to 8466</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8469 to 8472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Office machines (for example, typewriters, calculating machines, automatic data processing machines, duplicating machines, stapling machines)</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8480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Moulding boxes for metal foundry; mould bases; moulding patterns; moulds for metal (other than ingot moulds), metal carbides, glass, mineral materials, rubber or plastics</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8482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Ball or roller bearings</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8484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Gaskets and similar joints of metal sheeting combined with other material or of two or more layers of metal; sets or assortments of gaskets and similar joints, dissimilar in composition, put up in pouches, envelopes or similar packings; mechanical seals</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ex8486</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xml:space="preserve">– Machine tools for working any material by removal of material, by laser or other light or photon beam, ultrasonic, </w:t>
                  </w:r>
                  <w:r>
                    <w:rPr>
                      <w:rFonts w:ascii="Times New Roman" w:eastAsia="Times New Roman" w:hAnsi="Times New Roman" w:cs="Times New Roman"/>
                      <w:noProof/>
                      <w:color w:val="444444"/>
                      <w:lang w:eastAsia="x-none"/>
                    </w:rPr>
                    <w:lastRenderedPageBreak/>
                    <w:t>electrodischarge, electrochemical, electron beam, ionic-beam or plasma arc processes and parts and accessories thereof</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Manufacture in which the value of all the materials used does not exceed 40 %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machine tools (including presses) for working metal by bending, folding, straightening, flattening, and parts and accessories thereof</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machine tools for working stone, ceramics, concrete, asbestos-cement or like mineral materials or for cold working glass and parts and accessories thereof</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marking-out instruments which are pattern generating apparatus of a kind used for producing masks or reticles from photoresist coated substrates; parts and accessories thereof</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moulds, injection or compression types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50 % of the ex-works price of the product</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lifting, handing, loading or unloading machinery</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 8431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bl>
          <w:p w:rsidR="00D74962" w:rsidRDefault="00D74962">
            <w:pPr>
              <w:widowControl w:val="0"/>
              <w:spacing w:after="0" w:line="240" w:lineRule="auto"/>
              <w:rPr>
                <w:rFonts w:ascii="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8487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Machinery parts, not containing electrical connectors, insulators, coils, contacts or other electrical features, not </w:t>
            </w:r>
            <w:r>
              <w:rPr>
                <w:rFonts w:ascii="Times New Roman" w:hAnsi="Times New Roman" w:cs="Times New Roman"/>
                <w:noProof/>
                <w:color w:val="444444"/>
                <w:lang w:eastAsia="x-none"/>
              </w:rPr>
              <w:lastRenderedPageBreak/>
              <w:t>specified or included elsewhere in this Chapter</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in which the value of all the materials used does not exceed 40 % of the ex-works price of the product</w:t>
            </w: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85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Electrical machinery and equipment and parts thereof; sound recorders and reproducers, television image and sound recorders and reproducers, and parts and accessories of such articles; except for:</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Electric motors and generators (excluding generating sets)</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 8503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Electric generating sets and rotary converters</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headings 8501 and 8503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ex8504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Power supply units for automatic data-processing machines</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ex8517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Other apparatus for the transmission or reception of voice, images or other data, including apparatus for communication in a wireless network (such as a local or wide area network), other than transmission or reception apparatus of </w:t>
            </w:r>
            <w:r>
              <w:rPr>
                <w:rFonts w:ascii="Times New Roman" w:hAnsi="Times New Roman" w:cs="Times New Roman"/>
                <w:noProof/>
                <w:color w:val="444444"/>
                <w:lang w:eastAsia="x-none"/>
              </w:rPr>
              <w:lastRenderedPageBreak/>
              <w:t>headings 8443, 8525, 8527 or 8528</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in which the value of all the materials used does not exceed 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ex8518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Microphones and stands therefor; loudspeakers, whether or not mounted in their enclosures; audio-frequency electric amplifiers; electric sound amplifier sets</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8519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Sound recording and sound reproducing apparatus</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8521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Video recording or reproducing apparatus, whether or not incorporating a video tuner</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8522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Parts and accessories suitable for use solely or principally with the apparatus of headings 8519 to 8521</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8523</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4069"/>
              <w:gridCol w:w="1227"/>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 xml:space="preserve">Discs, tapes, solid-state non-volatile storage devices, </w:t>
                  </w:r>
                  <w:r>
                    <w:rPr>
                      <w:rFonts w:ascii="Times New Roman" w:eastAsia="Times New Roman" w:hAnsi="Times New Roman" w:cs="Times New Roman"/>
                      <w:noProof/>
                      <w:color w:val="444444"/>
                      <w:lang w:eastAsia="x-none"/>
                    </w:rPr>
                    <w:t xml:space="preserve">‘smart cards’ and other media for the recording of sound or of other phenomena, whether or not recorded, including matrices and masters for the </w:t>
                  </w:r>
                  <w:r>
                    <w:rPr>
                      <w:rFonts w:ascii="Times New Roman" w:eastAsia="Times New Roman" w:hAnsi="Times New Roman" w:cs="Times New Roman"/>
                      <w:noProof/>
                      <w:color w:val="444444"/>
                      <w:lang w:eastAsia="x-none"/>
                    </w:rPr>
                    <w:lastRenderedPageBreak/>
                    <w:t>production of discs, but excluding products of Chapter 37:</w:t>
                  </w:r>
                </w:p>
              </w:tc>
              <w:tc>
                <w:tcPr>
                  <w:tcW w:w="406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w:t>
                  </w:r>
                </w:p>
              </w:tc>
              <w:tc>
                <w:tcPr>
                  <w:tcW w:w="122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Unrecorded discs, tapes, solid-state non-volatile storage devices and other media for the recording of sound or of other phenomena, but excluding products of Chapter 37;</w:t>
                  </w:r>
                </w:p>
              </w:tc>
              <w:tc>
                <w:tcPr>
                  <w:tcW w:w="406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c>
                <w:tcPr>
                  <w:tcW w:w="122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Recorded discs, tapes solid-state non-volatile storage devices and other media for the recording of sound or of other phenomena, but excluding products of Chapter 37</w:t>
                  </w:r>
                </w:p>
              </w:tc>
              <w:tc>
                <w:tcPr>
                  <w:tcW w:w="406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 8523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2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Matrices and masters for the production of discs, but excluding products of Chapter 37;</w:t>
                  </w:r>
                </w:p>
              </w:tc>
              <w:tc>
                <w:tcPr>
                  <w:tcW w:w="406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 8523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2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Proximity cards and ‘smart cards’ with two or more electronic integrated circuits</w:t>
                  </w:r>
                </w:p>
              </w:tc>
              <w:tc>
                <w:tcPr>
                  <w:tcW w:w="406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2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‘Smart cards’ with one electronic integrated circuit</w:t>
                  </w:r>
                </w:p>
              </w:tc>
              <w:tc>
                <w:tcPr>
                  <w:tcW w:w="406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headings 8541 and 8542 used does not exceed 10 % of the ex-works price of the product</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The operation of diffusion, in which integrated circuits are formed on a semi-conductor substrate by the selective introduction of an appropriate dopant, whether or not assembled and/or tested in a country other than those specified in Article 3</w:t>
                  </w:r>
                </w:p>
              </w:tc>
              <w:tc>
                <w:tcPr>
                  <w:tcW w:w="122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bl>
          <w:p w:rsidR="00D74962" w:rsidRDefault="00D74962">
            <w:pPr>
              <w:widowControl w:val="0"/>
              <w:spacing w:after="0" w:line="240" w:lineRule="auto"/>
              <w:rPr>
                <w:rFonts w:ascii="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8525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Transmission apparatus for radio-broadcasting or television, whether or not incorporating reception apparatus or sound recording or reproducing apparatus; television cameras, digital cameras and video camera recorders</w:t>
            </w:r>
          </w:p>
        </w:tc>
        <w:tc>
          <w:tcPr>
            <w:tcW w:w="4058"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3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8526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Radar apparatus, radio navigational aid apparatus and radio remote control apparatus</w:t>
            </w:r>
          </w:p>
        </w:tc>
        <w:tc>
          <w:tcPr>
            <w:tcW w:w="4058"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3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8527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Reception apparatus for radio-broadcasting, whether or not combined, in the same housing, with sound recording or reproducing apparatus or a clock</w:t>
            </w:r>
          </w:p>
        </w:tc>
        <w:tc>
          <w:tcPr>
            <w:tcW w:w="4058"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xml:space="preserve">the value of all the non-originating materials used does not exceed the </w:t>
                  </w:r>
                  <w:r>
                    <w:rPr>
                      <w:rFonts w:ascii="Times New Roman" w:eastAsia="Times New Roman" w:hAnsi="Times New Roman" w:cs="Times New Roman"/>
                      <w:noProof/>
                      <w:sz w:val="24"/>
                      <w:szCs w:val="24"/>
                      <w:lang w:eastAsia="x-none"/>
                    </w:rPr>
                    <w:lastRenderedPageBreak/>
                    <w:t>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3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 xml:space="preserve">Manufacture in which the value of all the materials used does not exceed 25 % of the ex-works </w:t>
            </w:r>
            <w:r>
              <w:rPr>
                <w:rFonts w:ascii="Times New Roman" w:hAnsi="Times New Roman" w:cs="Times New Roman"/>
                <w:noProof/>
                <w:color w:val="444444"/>
                <w:lang w:eastAsia="x-none"/>
              </w:rPr>
              <w:lastRenderedPageBreak/>
              <w:t>price of the product</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8528</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4047"/>
              <w:gridCol w:w="1249"/>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Monitors and projectors, not incorporating television reception apparatus; reception apparatus for television, whether or not incorporating radio-broadcast receivers or sound or video recording or reproducing apparatus:</w:t>
                  </w:r>
                </w:p>
              </w:tc>
              <w:tc>
                <w:tcPr>
                  <w:tcW w:w="404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24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Monitors and projectors, not incorporating television reception apparatus, of a kind solely or principally used in an automatic data-processing system of heading 8471</w:t>
                  </w:r>
                </w:p>
              </w:tc>
              <w:tc>
                <w:tcPr>
                  <w:tcW w:w="404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c>
                <w:tcPr>
                  <w:tcW w:w="124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 monitors and projectors, not incorporating television reception apparatus; reception apparatus for television, whether or not incorporating radio broadcast receivers or sound or video recording or reproducing apparatus;</w:t>
                  </w:r>
                </w:p>
              </w:tc>
              <w:tc>
                <w:tcPr>
                  <w:tcW w:w="404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4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bl>
          <w:p w:rsidR="00D74962" w:rsidRDefault="00D74962">
            <w:pPr>
              <w:widowControl w:val="0"/>
              <w:spacing w:after="0" w:line="240" w:lineRule="auto"/>
              <w:rPr>
                <w:rFonts w:ascii="Times New Roman" w:hAnsi="Times New Roman" w:cs="Times New Roman"/>
                <w:noProof/>
                <w:color w:val="444444"/>
                <w:lang w:eastAsia="x-none"/>
              </w:rPr>
            </w:pP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8529</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4025"/>
              <w:gridCol w:w="1271"/>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Parts suitable for use solely or principally with the apparatus of headings 8525 to 8528:</w:t>
                  </w:r>
                </w:p>
              </w:tc>
              <w:tc>
                <w:tcPr>
                  <w:tcW w:w="40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27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Suitable for use solely or principally with video recording or reproducing apparatus</w:t>
                  </w:r>
                </w:p>
              </w:tc>
              <w:tc>
                <w:tcPr>
                  <w:tcW w:w="40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c>
                <w:tcPr>
                  <w:tcW w:w="127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xml:space="preserve">– Suitable for use solely or principally with monitors and projectors, not incorporating television reception apparatus, of </w:t>
                  </w:r>
                  <w:r>
                    <w:rPr>
                      <w:rFonts w:ascii="Times New Roman" w:eastAsia="Times New Roman" w:hAnsi="Times New Roman" w:cs="Times New Roman"/>
                      <w:noProof/>
                      <w:color w:val="444444"/>
                      <w:lang w:eastAsia="x-none"/>
                    </w:rPr>
                    <w:lastRenderedPageBreak/>
                    <w:t>a kind solely or principally used in an automatic data-processing system of heading 8471</w:t>
                  </w:r>
                </w:p>
              </w:tc>
              <w:tc>
                <w:tcPr>
                  <w:tcW w:w="40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 xml:space="preserve">in which the value of all the materials used does not exceed </w:t>
                        </w:r>
                        <w:r>
                          <w:rPr>
                            <w:rFonts w:ascii="Times New Roman" w:eastAsia="Times New Roman" w:hAnsi="Times New Roman" w:cs="Times New Roman"/>
                            <w:noProof/>
                            <w:sz w:val="24"/>
                            <w:szCs w:val="24"/>
                            <w:lang w:eastAsia="x-none"/>
                          </w:rPr>
                          <w:lastRenderedPageBreak/>
                          <w:t>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7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 xml:space="preserve">Manufacture in which the value of all the materials used does not exceed </w:t>
                  </w:r>
                  <w:r>
                    <w:rPr>
                      <w:rFonts w:ascii="Times New Roman" w:hAnsi="Times New Roman" w:cs="Times New Roman"/>
                      <w:noProof/>
                      <w:color w:val="444444"/>
                      <w:lang w:eastAsia="x-none"/>
                    </w:rPr>
                    <w:lastRenderedPageBreak/>
                    <w:t>30 %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Other</w:t>
                  </w:r>
                </w:p>
              </w:tc>
              <w:tc>
                <w:tcPr>
                  <w:tcW w:w="40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7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bl>
          <w:p w:rsidR="00D74962" w:rsidRDefault="00D74962">
            <w:pPr>
              <w:widowControl w:val="0"/>
              <w:spacing w:after="0" w:line="240" w:lineRule="auto"/>
              <w:rPr>
                <w:rFonts w:ascii="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8535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right"/>
              <w:rPr>
                <w:rFonts w:ascii="Times New Roman" w:hAnsi="Times New Roman" w:cs="Times New Roman"/>
                <w:noProof/>
                <w:color w:val="444444"/>
                <w:lang w:eastAsia="x-none"/>
              </w:rPr>
            </w:pPr>
            <w:r>
              <w:rPr>
                <w:rFonts w:ascii="Times New Roman" w:hAnsi="Times New Roman" w:cs="Times New Roman"/>
                <w:noProof/>
                <w:color w:val="444444"/>
                <w:lang w:eastAsia="x-none"/>
              </w:rPr>
              <w:t>Electrical apparatus for switching or protecting electrical circuits, or for making connections to or in electrical circuits for a voltage exceeding 1 000 V</w:t>
            </w:r>
          </w:p>
        </w:tc>
        <w:tc>
          <w:tcPr>
            <w:tcW w:w="4025"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 8538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71"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8536</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4036"/>
              <w:gridCol w:w="1260"/>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right"/>
                    <w:rPr>
                      <w:rFonts w:ascii="Times New Roman" w:hAnsi="Times New Roman" w:cs="Times New Roman"/>
                      <w:noProof/>
                      <w:color w:val="444444"/>
                      <w:lang w:eastAsia="x-none"/>
                    </w:rPr>
                  </w:pPr>
                  <w:r>
                    <w:rPr>
                      <w:rFonts w:ascii="Times New Roman" w:hAnsi="Times New Roman" w:cs="Times New Roman"/>
                      <w:noProof/>
                      <w:color w:val="444444"/>
                      <w:lang w:eastAsia="x-none"/>
                    </w:rPr>
                    <w:t>Electrical apparatus for switching or protecting electrical circuits, or for making connections to or in electrical circuits for a voltage not exceeding 1 000 V; connectors for optical fibres, optical fibre bundles or cables:</w:t>
                  </w:r>
                </w:p>
              </w:tc>
              <w:tc>
                <w:tcPr>
                  <w:tcW w:w="403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26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righ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Electrical apparatus for switching or protecting electrical circuits, or for making connections to or in electrical circuits for a voltage not exceeding 1 000 V</w:t>
                  </w:r>
                </w:p>
              </w:tc>
              <w:tc>
                <w:tcPr>
                  <w:tcW w:w="403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 8538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6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Connectors for optical fibres, optical fibre bundles or cables</w:t>
                  </w:r>
                </w:p>
              </w:tc>
              <w:tc>
                <w:tcPr>
                  <w:tcW w:w="403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26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of plastics</w:t>
                  </w:r>
                </w:p>
              </w:tc>
              <w:tc>
                <w:tcPr>
                  <w:tcW w:w="403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50 % of the ex-works price of the product</w:t>
                  </w:r>
                </w:p>
              </w:tc>
              <w:tc>
                <w:tcPr>
                  <w:tcW w:w="126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of ceramics</w:t>
                  </w:r>
                </w:p>
              </w:tc>
              <w:tc>
                <w:tcPr>
                  <w:tcW w:w="403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w:t>
                  </w:r>
                </w:p>
              </w:tc>
              <w:tc>
                <w:tcPr>
                  <w:tcW w:w="126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 of copper</w:t>
                  </w:r>
                </w:p>
              </w:tc>
              <w:tc>
                <w:tcPr>
                  <w:tcW w:w="403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6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8537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Boards, panels, consoles, desks, cabinets and other bases, equipped with two or more apparatus of heading 8535 or 8536, for electric control or the distribution of electricity, including those incorporating instruments or apparatus of Chapter 90, and numerical control apparatus, other than switching apparatus of heading 8517</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 8538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ex8541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Diodes, transistors and similar semi-conductor devices, except wafers not yet cut into chips</w:t>
            </w:r>
          </w:p>
        </w:tc>
        <w:tc>
          <w:tcPr>
            <w:tcW w:w="399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0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8542</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81"/>
              <w:gridCol w:w="1315"/>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Electronic integrated circuits</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Monolithic integrated circuits</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headings 8541 and 8542 used does not exceed 10 % of the ex-works price of the product</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The operation of diffusion, in which integrated circuits are formed on a semi-conductor substrate by the selective introduction of an appropriate dopant, whether or not assembled and/or tested in a country other than those specified in Article 3</w:t>
                  </w: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Multichips which are parts of machinery or apparatus, not specified or included elsewhere in this Chapter</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headings 8541 and 8542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bl>
          <w:p w:rsidR="00D74962" w:rsidRDefault="00D74962">
            <w:pPr>
              <w:widowControl w:val="0"/>
              <w:spacing w:after="0" w:line="240" w:lineRule="auto"/>
              <w:rPr>
                <w:rFonts w:ascii="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8544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Insulated (including enamelled or anodised) wire, cable (including coaxial cable) and other insulated electric conductors, whether or not fitted with connectors; optical fibre cables, made up of individually sheathed fibres, whether or not assembled with electric </w:t>
            </w:r>
            <w:r>
              <w:rPr>
                <w:rFonts w:ascii="Times New Roman" w:hAnsi="Times New Roman" w:cs="Times New Roman"/>
                <w:noProof/>
                <w:color w:val="444444"/>
                <w:lang w:eastAsia="x-none"/>
              </w:rPr>
              <w:lastRenderedPageBreak/>
              <w:t>conductors or fitted with connectors</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in which the value of all the materials used does not exceed 40 % of the ex-works price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8545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Carbon electrodes, carbon brushes, lamp carbons, battery carbons and other articles of graphite or other carbon, with or without metal, of a kind used for electrical purposes</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8546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Electrical insulators of any material</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8547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Insulating fittings for electrical machines, appliances or equipment, being fittings wholly of insulating materials apart from any minor components of metal (for example, threaded sockets) incorporated during moulding solely for purposes of assembly, other than insulators of heading 8546; electrical conduit tubing and joints therefor, of base metal lined with insulating material</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8548</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69"/>
              <w:gridCol w:w="1327"/>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Waste and scrap of primary cells, primary batteries and electric accumulators; spent primary cells, spent primary batteries and spent electric accumulators; electrical parts of machinery or apparatus, not specified or included elsewhere in this Chapter</w:t>
                  </w:r>
                </w:p>
              </w:tc>
              <w:tc>
                <w:tcPr>
                  <w:tcW w:w="396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Electronic microassemblies</w:t>
                  </w:r>
                </w:p>
              </w:tc>
              <w:tc>
                <w:tcPr>
                  <w:tcW w:w="396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headings 8541 and 8542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 xml:space="preserve">Manufacture in which the </w:t>
                  </w:r>
                  <w:r>
                    <w:rPr>
                      <w:rFonts w:ascii="Times New Roman" w:hAnsi="Times New Roman" w:cs="Times New Roman"/>
                      <w:noProof/>
                      <w:color w:val="444444"/>
                      <w:lang w:eastAsia="x-none"/>
                    </w:rPr>
                    <w:lastRenderedPageBreak/>
                    <w:t>value of all the materials used does not exceed 25 %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lastRenderedPageBreak/>
                    <w:t>– Other</w:t>
                  </w:r>
                </w:p>
              </w:tc>
              <w:tc>
                <w:tcPr>
                  <w:tcW w:w="396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c>
                <w:tcPr>
                  <w:tcW w:w="132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Chapter 86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Railway or tramway locomotives, rolling-stock and parts thereof; railway or tramway track fixtures and fittings and parts thereof; mechanical (including electro-mechanical) traffic signalling equipment of all kinds; except for:</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8608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Railway or tramway track fixtures and fittings; mechanical (including electromechanical) signalling, safety or traffic control equipment for railways, tramways, roads, inland waterways, parking facilities, port installations or airfields; parts of the foregoing</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87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Vehicles other than railway or tramway rolling-stock, and parts and accessories thereof; except for:</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8709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Works trucks, self-propelled, not fitted with lifting or handling equipment, of the type used in factories, warehouses, dock areas or airports for short distance transport of </w:t>
            </w:r>
            <w:r>
              <w:rPr>
                <w:rFonts w:ascii="Times New Roman" w:hAnsi="Times New Roman" w:cs="Times New Roman"/>
                <w:noProof/>
                <w:color w:val="444444"/>
                <w:lang w:eastAsia="x-none"/>
              </w:rPr>
              <w:lastRenderedPageBreak/>
              <w:t>goods; tractors of the type used on railway station platforms; parts of the foregoing vehicles</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Manufacture in which the value of all the materials used does not exceed 30 % of the ex-works </w:t>
            </w:r>
            <w:r>
              <w:rPr>
                <w:rFonts w:ascii="Times New Roman" w:hAnsi="Times New Roman" w:cs="Times New Roman"/>
                <w:noProof/>
                <w:color w:val="444444"/>
                <w:lang w:eastAsia="x-none"/>
              </w:rPr>
              <w:lastRenderedPageBreak/>
              <w:t>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8710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Tanks and other armoured fighting vehicles, motorized, whether or not fitted with weapons, and parts of such vehicles</w:t>
            </w:r>
          </w:p>
        </w:tc>
        <w:tc>
          <w:tcPr>
            <w:tcW w:w="4036"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6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8711</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74"/>
              <w:gridCol w:w="1322"/>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Motorcycles (including mopeds) and cycles fitted with an auxiliary motor, with or without side-cars; side-cars:</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With reciprocating internal combustion piston engine of a cylinder capacity:</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 – Not exceeding 50 cm</w:t>
                  </w:r>
                  <w:r>
                    <w:rPr>
                      <w:rFonts w:ascii="Times New Roman" w:hAnsi="Times New Roman" w:cs="Times New Roman"/>
                      <w:noProof/>
                      <w:color w:val="444444"/>
                      <w:position w:val="3"/>
                      <w:sz w:val="15"/>
                      <w:szCs w:val="15"/>
                      <w:lang w:eastAsia="x-none"/>
                    </w:rPr>
                    <w:t>3</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20 %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eastAsia="Times New Roman" w:hAnsi="Times New Roman" w:cs="Times New Roman"/>
                      <w:noProof/>
                      <w:color w:val="444444"/>
                      <w:lang w:eastAsia="x-none"/>
                    </w:rPr>
                    <w:t>– – Exceeding 50 cm</w:t>
                  </w:r>
                  <w:r>
                    <w:rPr>
                      <w:rFonts w:ascii="Times New Roman" w:hAnsi="Times New Roman" w:cs="Times New Roman"/>
                      <w:noProof/>
                      <w:color w:val="444444"/>
                      <w:position w:val="3"/>
                      <w:sz w:val="15"/>
                      <w:szCs w:val="15"/>
                      <w:lang w:eastAsia="x-none"/>
                    </w:rPr>
                    <w:t>3</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7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lastRenderedPageBreak/>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 xml:space="preserve">Manufacture in which the value of all </w:t>
                  </w:r>
                  <w:r>
                    <w:rPr>
                      <w:rFonts w:ascii="Times New Roman" w:hAnsi="Times New Roman" w:cs="Times New Roman"/>
                      <w:noProof/>
                      <w:color w:val="444444"/>
                      <w:lang w:eastAsia="x-none"/>
                    </w:rPr>
                    <w:lastRenderedPageBreak/>
                    <w:t>the materials used does not exceed 30 % of the ex-works price of the product</w:t>
                  </w:r>
                </w:p>
              </w:tc>
            </w:tr>
          </w:tbl>
          <w:p w:rsidR="00D74962" w:rsidRDefault="00D74962">
            <w:pPr>
              <w:widowControl w:val="0"/>
              <w:spacing w:after="0" w:line="240" w:lineRule="auto"/>
              <w:rPr>
                <w:rFonts w:ascii="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ex8712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Bicycles without ball bearings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those of heading 8714</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8715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Baby carriages and parts thereof</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8716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Trailers and semi-trailers; other vehicles, not mechanically propelled; parts thereof</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88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Aircraft, spacecraft, and parts thereof; except for:</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Manufacture in which the value of all the materials used does not exceed 40 % of the ex-works </w:t>
            </w:r>
            <w:r>
              <w:rPr>
                <w:rFonts w:ascii="Times New Roman" w:hAnsi="Times New Roman" w:cs="Times New Roman"/>
                <w:noProof/>
                <w:color w:val="444444"/>
                <w:lang w:eastAsia="x-none"/>
              </w:rPr>
              <w:lastRenderedPageBreak/>
              <w:t>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ex8804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Rotochutes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including other materials of heading 8804</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8805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Aircraft launching gear; deck-arrestor or similar gear; ground flying trainers; parts of the foregoing articles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89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Ships, boats and floating structures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hulls of heading 8906 may not be used</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90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Optical, photographic, cinematographic, measuring, checking, precision, medical or surgical instruments and apparatus; parts and accessories thereof; except for:</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9001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Optical fibres and optical fibre bundles; optical fibre cables other than those of heading 8544; sheets </w:t>
            </w:r>
            <w:r>
              <w:rPr>
                <w:rFonts w:ascii="Times New Roman" w:hAnsi="Times New Roman" w:cs="Times New Roman"/>
                <w:noProof/>
                <w:color w:val="444444"/>
                <w:lang w:eastAsia="x-none"/>
              </w:rPr>
              <w:lastRenderedPageBreak/>
              <w:t>and plates of polarizing material; lenses (including contact lenses), prisms, mirrors and other optical elements, of any material, unmounted, other than such elements of glass not optically worked</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Lenses, prisms, mirrors and other optical elements, of any material, mounted, being parts of or fittings for instruments or apparatus, other than such elements of glass not optically worked</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9004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Spectacles, goggles and the like, corrective, protective or other</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ex9005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Binoculars, monoculars, other optical telescopes, and mountings therefor, except for astronomical refracting telescopes and mountings therefor</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ex9006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Photographic (other than cinematographic) cameras; photographic flashlight apparatus and flashbulbs other than electrically ignited flashbulbs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9007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Cinematographic cameras and projectors, whether or not incorporating sound recording or reproducing apparatus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9011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Compound optical microscopes, including those for photomicrography, cinephotomicrography or microprojection</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ex9014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navigational instruments and appliances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9015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Surveying (including photogrammetrical surveying), hydrographic, oceanographic, hydrological, meteorological or geophysical instruments and appliances, excluding compasses; rangefinders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9016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Balances of a sensitivity of 5 cg or better, with or without weights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9017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Drawing, marking-out or mathematical calculating instruments (for example, drafting machines, pantographs, protractors, drawing sets, slide rules, </w:t>
            </w:r>
            <w:r>
              <w:rPr>
                <w:rFonts w:ascii="Times New Roman" w:hAnsi="Times New Roman" w:cs="Times New Roman"/>
                <w:noProof/>
                <w:color w:val="444444"/>
                <w:lang w:eastAsia="x-none"/>
              </w:rPr>
              <w:lastRenderedPageBreak/>
              <w:t>disc calculators); instruments for measuring length, for use in the hand (for example, measuring rods and tapes, micrometers, callipers), not specified or included elsewhere in this chapter</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9018</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81"/>
              <w:gridCol w:w="1315"/>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Instruments and appliances used in medical, surgical, dental or veterinary sciences, including scintigraphic apparatus, other electro-medical apparatus and sight-testing instruments:</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Dentists’ chairs incorporating dental appliances or dentists’ spittoons</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including other materials of heading 9018</w:t>
                  </w: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8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1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bl>
          <w:p w:rsidR="00D74962" w:rsidRDefault="00D74962">
            <w:pPr>
              <w:widowControl w:val="0"/>
              <w:spacing w:after="0" w:line="240" w:lineRule="auto"/>
              <w:rPr>
                <w:rFonts w:ascii="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9019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Mechano-therapy appliances; massage apparatus; psychological aptitude-testing apparatus; ozone therapy, oxygen therapy, aerosol therapy, artificial respiration or other therapeutic respiration apparatus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9020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breathing appliances and gas masks, excluding protective masks having neither mechanical parts nor replaceable filters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25 %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9024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Machines and appliances for testing the hardness, strength, compressibility, elasticity or other mechanical properties of materials (for example, metals, wood, textiles, paper, plastics)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9025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Hydrometers and similar floating instruments, thermometers, pyrometers, barometers, hygrometers and psychrometers, recording or not, and any combination of these instruments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9026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Instruments and apparatus for measuring or checking the flow, level, pressure or other variables of liquids or gases (for example, flow meters, level gauges, manometers, heat meters), excluding instruments and apparatus of heading 9014, 9015, 9028 or 9032</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9027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Instruments and apparatus for physical or chemical analysis (for example, polarimeters, refractometers, spectrometers, gas or </w:t>
            </w:r>
            <w:r>
              <w:rPr>
                <w:rFonts w:ascii="Times New Roman" w:hAnsi="Times New Roman" w:cs="Times New Roman"/>
                <w:noProof/>
                <w:color w:val="444444"/>
                <w:lang w:eastAsia="x-none"/>
              </w:rPr>
              <w:lastRenderedPageBreak/>
              <w:t>smoke analysis apparatus); instruments and apparatus for measuring or checking viscosity, porosity, expansion, surface tension or the like; instruments and apparatus for measuring or checking quantities of heat, sound or light (including exposure meters); microtomes</w:t>
            </w:r>
          </w:p>
        </w:tc>
        <w:tc>
          <w:tcPr>
            <w:tcW w:w="400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in which the value of all the materials used does not exceed 40 % of the ex-works price of the product</w:t>
            </w:r>
          </w:p>
        </w:tc>
        <w:tc>
          <w:tcPr>
            <w:tcW w:w="1293"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9028</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4003"/>
              <w:gridCol w:w="1293"/>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Gas, liquid or electricity supply or production meters, including calibrating meters therefor:</w:t>
                  </w:r>
                </w:p>
              </w:tc>
              <w:tc>
                <w:tcPr>
                  <w:tcW w:w="40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29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Parts and accessories</w:t>
                  </w:r>
                </w:p>
              </w:tc>
              <w:tc>
                <w:tcPr>
                  <w:tcW w:w="40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c>
                <w:tcPr>
                  <w:tcW w:w="129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40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9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bl>
          <w:p w:rsidR="00D74962" w:rsidRDefault="00D74962">
            <w:pPr>
              <w:widowControl w:val="0"/>
              <w:spacing w:after="0" w:line="240" w:lineRule="auto"/>
              <w:rPr>
                <w:rFonts w:ascii="Times New Roman" w:hAnsi="Times New Roman" w:cs="Times New Roman"/>
                <w:noProof/>
                <w:color w:val="44444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9029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Revolution counters, production counters, taximeters, mileometers, pedometers and the like; speed indicators and tachometers, other than those of heading 9014 or 9015; stroboscopes</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9030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Oscilloscopes, spectrum analysers and other instruments and apparatus for measuring or checking </w:t>
            </w:r>
            <w:r>
              <w:rPr>
                <w:rFonts w:ascii="Times New Roman" w:hAnsi="Times New Roman" w:cs="Times New Roman"/>
                <w:noProof/>
                <w:color w:val="444444"/>
                <w:lang w:eastAsia="x-none"/>
              </w:rPr>
              <w:lastRenderedPageBreak/>
              <w:t>electrical quantities, excluding meters of heading 9028; instruments and apparatus for measuring or detecting alpha, beta, gamma, X-ray, cosmic or other ionizing radiations</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Manufacture in which the value of all the materials used does not exceed 40 % of the ex-works price of the product</w:t>
            </w: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9031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Measuring or checking instruments, appliances and machines, not specified or included elsewhere in this chapter; profile projectors</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9032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Automatic regulating or controlling instruments and apparatus</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9033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Parts and accessories (not specified or included elsewhere in this chapter) for machines, appliances, instruments or apparatus of Chapter 90</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91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Clocks and watches and parts thereof; except for:</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9105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Other clocks</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9109</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Clock movements, complete and assembled</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non-originating materials used does not exceed the value of all the originating materials used</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 xml:space="preserve">Manufacture in which the value of all the materials used does not exceed 30 % of the ex-works </w:t>
            </w:r>
            <w:r>
              <w:rPr>
                <w:rFonts w:ascii="Times New Roman" w:hAnsi="Times New Roman" w:cs="Times New Roman"/>
                <w:noProof/>
                <w:color w:val="444444"/>
                <w:lang w:eastAsia="x-none"/>
              </w:rPr>
              <w:lastRenderedPageBreak/>
              <w:t>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9110</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Complete watch or clock movements, unassembled or partly assembled (movement sets); incomplete watch or clock movements, assembled; rough watch or clock movements</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all the materials used does not exceed 40 %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within the above limit, the value of all the materials of heading 9114 used does not exceed 10 %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9111</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Watch cases and parts thereof</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9112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Clock cases and cases of a similar type for other goods of this chapter, and parts thereof</w:t>
            </w:r>
          </w:p>
        </w:tc>
        <w:tc>
          <w:tcPr>
            <w:tcW w:w="401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40 %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282"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30 % of the ex-works price of the product</w:t>
            </w:r>
          </w:p>
        </w:tc>
      </w:tr>
      <w:tr w:rsidR="00D74962">
        <w:tblPrEx>
          <w:tblCellMar>
            <w:bottom w:w="0" w:type="dxa"/>
          </w:tblCellMar>
        </w:tblPrEx>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9113</w:t>
            </w:r>
          </w:p>
        </w:tc>
        <w:tc>
          <w:tcPr>
            <w:tcW w:w="7699" w:type="dxa"/>
            <w:gridSpan w:val="11"/>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2403"/>
              <w:gridCol w:w="3969"/>
              <w:gridCol w:w="1327"/>
            </w:tblGrid>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Watch straps, watch bands and watch bracelets, and parts thereof:</w:t>
                  </w:r>
                </w:p>
              </w:tc>
              <w:tc>
                <w:tcPr>
                  <w:tcW w:w="396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c>
                <w:tcPr>
                  <w:tcW w:w="132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Of base metal, whether or not gold- or silver-plated, or of metal clad with precious metal</w:t>
                  </w:r>
                </w:p>
              </w:tc>
              <w:tc>
                <w:tcPr>
                  <w:tcW w:w="396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40 % of the ex-works price of the product</w:t>
                  </w:r>
                </w:p>
              </w:tc>
              <w:tc>
                <w:tcPr>
                  <w:tcW w:w="132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 Other</w:t>
                  </w:r>
                </w:p>
              </w:tc>
              <w:tc>
                <w:tcPr>
                  <w:tcW w:w="396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in which the value of all the materials used does not exceed 50 % of the ex-works price of the product</w:t>
                  </w:r>
                </w:p>
              </w:tc>
              <w:tc>
                <w:tcPr>
                  <w:tcW w:w="132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widowControl w:val="0"/>
              <w:spacing w:after="0" w:line="240" w:lineRule="auto"/>
              <w:rPr>
                <w:rFonts w:ascii="Times New Roman" w:hAnsi="Times New Roman" w:cs="Times New Roman"/>
                <w:noProof/>
                <w:color w:val="444444"/>
                <w:sz w:val="24"/>
                <w:szCs w:val="24"/>
                <w:lang w:eastAsia="x-none"/>
              </w:rPr>
            </w:pP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92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Musical instruments; parts and accessories of such articles</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Chapter 93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Arms and ammunition; parts and accessories thereof</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94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Furniture; bedding, mattresses, mattress supports, cushions and similar stuffed furnishings; lamps and lighting fittings, not elsewhere specified or included; illuminated signs, illuminated name-plates and the like; prefabricated buildings; except for:</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ex9401 and ex ex9403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Base metal furniture, incorporating unstuffed cotton cloth of a weight of 300 g/m</w:t>
            </w:r>
            <w:r>
              <w:rPr>
                <w:rFonts w:ascii="Times New Roman" w:hAnsi="Times New Roman" w:cs="Times New Roman"/>
                <w:noProof/>
                <w:color w:val="444444"/>
                <w:position w:val="3"/>
                <w:sz w:val="15"/>
                <w:szCs w:val="15"/>
                <w:lang w:eastAsia="x-none"/>
              </w:rPr>
              <w:t>2</w:t>
            </w:r>
            <w:r>
              <w:rPr>
                <w:rFonts w:ascii="Times New Roman" w:hAnsi="Times New Roman" w:cs="Times New Roman"/>
                <w:noProof/>
                <w:color w:val="444444"/>
                <w:lang w:eastAsia="x-none"/>
              </w:rPr>
              <w:t> or less</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or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cotton cloth already made up in a form ready for use with materials of heading 9401 or 9403, provided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value of the cloth does not exceed 25 % of the ex-works price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all the other materials used are originating and are classified in a heading other than heading 9401 or 9403</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40 % of the ex-works price of the product</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9405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Lamps and lighting fittings including searchlights and spotlights and parts thereof, not elsewhere specified or included; illuminated signs, illuminated name-plates and the like, having a permanently fixed light source, and parts thereof not elsewhere specified or included</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9406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Prefabricated buildings</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ex Chapter 95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Toys, games and sports requisites; parts and accessories thereof; except for:</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ex9503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Other toys; reduced-size (</w:t>
            </w:r>
            <w:r>
              <w:rPr>
                <w:rFonts w:ascii="Times New Roman" w:eastAsia="Times New Roman" w:hAnsi="Times New Roman" w:cs="Times New Roman"/>
                <w:noProof/>
                <w:color w:val="444444"/>
                <w:lang w:eastAsia="x-none"/>
              </w:rPr>
              <w:t>‘scale’) models and similar recreational models, working or not; puzzles of all kinds</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ex9506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Golf clubs and parts thereof</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roughly-shaped blocks for making golf-club heads may be used</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ex Chapter 96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Miscellaneous manufactured articles; except for:</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ex9601 and ex ex9602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Articles of animal, vegetable or mineral carving materials</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 xml:space="preserve">Manufacture from </w:t>
            </w:r>
            <w:r>
              <w:rPr>
                <w:rFonts w:ascii="Times New Roman" w:eastAsia="Times New Roman" w:hAnsi="Times New Roman" w:cs="Times New Roman"/>
                <w:noProof/>
                <w:color w:val="444444"/>
                <w:lang w:eastAsia="x-none"/>
              </w:rPr>
              <w:t>‘worked’ carving materials of the same heading as the product</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ex9603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Brooms and brushes (except for besoms and the like and brushes made from marten or squirrel hair), hand-operated mechanical floor sweepers, not motorized, paint pads and rollers, squeegees and mops</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used does not exceed 50 % of the ex-works price of the product</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9605</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Travel sets for personal toilet, sewing or shoe or clothes cleaning</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Each item in the set must satisfy the rule which would apply to it if it were not included in the set. However, non-originating articles may be incorporated, provided that their total value does not exceed 15% of the ex-works price of the set</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9606</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Buttons, press-fasteners, snap-fasteners and press-studs, button moulds and other parts of these articles; button blanks</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lastRenderedPageBreak/>
              <w:t>9608</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Ball-point pens; felt-tipped and other porous-tipped pens and markers; fountain pens, stylograph pens and other pens; duplicating stylos; propelling or sliding pencils; pen-holders, pencil-holders and similar holders; parts (including caps and clips) of the foregoing articles, other than those of heading 9609</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materials of any heading, except that of the product. However, nibs or nib-points of the same heading as the product may be used</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9612</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Typewriter or similar ribbons, inked or otherwise prepared for giving impressions, whether or not on spools or in cartridges; ink-pads, whether or not inked, with or without boxes</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45"/>
              <w:gridCol w:w="3508"/>
            </w:tblGrid>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from materials of any heading, except that of the product, and</w:t>
                  </w:r>
                </w:p>
              </w:tc>
            </w:tr>
            <w:tr w:rsidR="00D74962">
              <w:tc>
                <w:tcPr>
                  <w:tcW w:w="3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tc>
              <w:tc>
                <w:tcPr>
                  <w:tcW w:w="350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in which the value of all the materials used does not exceed 50 % of the ex-works price of the product</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ex9613</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Lighters with piezo-igniter</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in which the value of all the materials of heading 9613 used does not exceed 30 % of the ex-works price of the product</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color w:val="444444"/>
                <w:lang w:eastAsia="x-none"/>
              </w:rPr>
            </w:pPr>
            <w:r>
              <w:rPr>
                <w:rFonts w:ascii="Times New Roman" w:hAnsi="Times New Roman" w:cs="Times New Roman"/>
                <w:noProof/>
                <w:color w:val="444444"/>
                <w:lang w:eastAsia="x-none"/>
              </w:rPr>
              <w:t>ex ex9614</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Smoking pipes and pipe bowls</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Manufacture from roughly-shaped blocks</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1311"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lang w:eastAsia="x-none"/>
              </w:rPr>
            </w:pPr>
            <w:r>
              <w:rPr>
                <w:rFonts w:ascii="Times New Roman" w:hAnsi="Times New Roman" w:cs="Times New Roman"/>
                <w:noProof/>
                <w:color w:val="444444"/>
                <w:lang w:eastAsia="x-none"/>
              </w:rPr>
              <w:t>Chapter 97</w:t>
            </w:r>
          </w:p>
        </w:tc>
        <w:tc>
          <w:tcPr>
            <w:tcW w:w="240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hAnsi="Times New Roman" w:cs="Times New Roman"/>
                <w:noProof/>
                <w:color w:val="444444"/>
                <w:lang w:eastAsia="x-none"/>
              </w:rPr>
              <w:t>Works of art, collectors</w:t>
            </w:r>
            <w:r>
              <w:rPr>
                <w:rFonts w:ascii="Times New Roman" w:eastAsia="Times New Roman" w:hAnsi="Times New Roman" w:cs="Times New Roman"/>
                <w:noProof/>
                <w:color w:val="444444"/>
                <w:lang w:eastAsia="x-none"/>
              </w:rPr>
              <w:t>’ pieces and antiques</w:t>
            </w:r>
          </w:p>
        </w:tc>
        <w:tc>
          <w:tcPr>
            <w:tcW w:w="396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lang w:eastAsia="x-none"/>
              </w:rPr>
            </w:pPr>
            <w:r>
              <w:rPr>
                <w:rFonts w:ascii="Times New Roman" w:eastAsia="Times New Roman" w:hAnsi="Times New Roman" w:cs="Times New Roman"/>
                <w:noProof/>
                <w:color w:val="444444"/>
                <w:lang w:eastAsia="x-none"/>
              </w:rPr>
              <w:t>Manufacture from materials of any heading, except that of the product</w:t>
            </w:r>
          </w:p>
        </w:tc>
        <w:tc>
          <w:tcPr>
            <w:tcW w:w="132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rFonts w:eastAsia="Times New Roman"/>
          <w:noProof/>
          <w:color w:val="444444"/>
          <w:sz w:val="19"/>
          <w:szCs w:val="19"/>
          <w:lang w:eastAsia="x-none"/>
        </w:rPr>
      </w:pPr>
      <w:hyperlink r:id="rId102" w:anchor="ntc1-L_2013054EN.01003001-E0001"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1</w:t>
        </w:r>
        <w:r w:rsidR="00935DDF">
          <w:rPr>
            <w:rStyle w:val="Hyperlink"/>
            <w:noProof/>
            <w:color w:val="800080"/>
            <w:sz w:val="19"/>
            <w:szCs w:val="19"/>
            <w:u w:val="none"/>
            <w:lang w:eastAsia="x-none"/>
          </w:rPr>
          <w:t>)</w:t>
        </w:r>
      </w:hyperlink>
      <w:r w:rsidR="00935DDF">
        <w:rPr>
          <w:noProof/>
          <w:color w:val="444444"/>
          <w:sz w:val="19"/>
          <w:szCs w:val="19"/>
          <w:lang w:eastAsia="x-none"/>
        </w:rPr>
        <w:t xml:space="preserve">  For the special conditions relating to </w:t>
      </w:r>
      <w:r w:rsidR="00935DDF">
        <w:rPr>
          <w:rFonts w:eastAsia="Times New Roman"/>
          <w:noProof/>
          <w:color w:val="444444"/>
          <w:sz w:val="19"/>
          <w:szCs w:val="19"/>
          <w:lang w:eastAsia="x-none"/>
        </w:rPr>
        <w:t>‘specific Processes’, see Introductory Notes 7.1 and 7.3.</w:t>
      </w: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rFonts w:eastAsia="Times New Roman"/>
          <w:noProof/>
          <w:color w:val="444444"/>
          <w:sz w:val="19"/>
          <w:szCs w:val="19"/>
          <w:lang w:eastAsia="x-none"/>
        </w:rPr>
      </w:pPr>
      <w:hyperlink r:id="rId103" w:anchor="ntc2-L_2013054EN.01003001-E0002"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2</w:t>
        </w:r>
        <w:r w:rsidR="00935DDF">
          <w:rPr>
            <w:rStyle w:val="Hyperlink"/>
            <w:noProof/>
            <w:color w:val="800080"/>
            <w:sz w:val="19"/>
            <w:szCs w:val="19"/>
            <w:u w:val="none"/>
            <w:lang w:eastAsia="x-none"/>
          </w:rPr>
          <w:t>)</w:t>
        </w:r>
      </w:hyperlink>
      <w:r w:rsidR="00935DDF">
        <w:rPr>
          <w:noProof/>
          <w:color w:val="444444"/>
          <w:sz w:val="19"/>
          <w:szCs w:val="19"/>
          <w:lang w:eastAsia="x-none"/>
        </w:rPr>
        <w:t xml:space="preserve">  For the special conditions relating to </w:t>
      </w:r>
      <w:r w:rsidR="00935DDF">
        <w:rPr>
          <w:rFonts w:eastAsia="Times New Roman"/>
          <w:noProof/>
          <w:color w:val="444444"/>
          <w:sz w:val="19"/>
          <w:szCs w:val="19"/>
          <w:lang w:eastAsia="x-none"/>
        </w:rPr>
        <w:t>‘specific Processes’, see Introductory Notes 7.2.</w:t>
      </w: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noProof/>
          <w:color w:val="444444"/>
          <w:sz w:val="19"/>
          <w:szCs w:val="19"/>
          <w:lang w:eastAsia="x-none"/>
        </w:rPr>
      </w:pPr>
      <w:hyperlink r:id="rId104" w:anchor="ntc3-L_2013054EN.01003001-E0003"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3</w:t>
        </w:r>
        <w:r w:rsidR="00935DDF">
          <w:rPr>
            <w:rStyle w:val="Hyperlink"/>
            <w:noProof/>
            <w:color w:val="800080"/>
            <w:sz w:val="19"/>
            <w:szCs w:val="19"/>
            <w:u w:val="none"/>
            <w:lang w:eastAsia="x-none"/>
          </w:rPr>
          <w:t>)</w:t>
        </w:r>
      </w:hyperlink>
      <w:r w:rsidR="00935DDF">
        <w:rPr>
          <w:noProof/>
          <w:color w:val="444444"/>
          <w:sz w:val="19"/>
          <w:szCs w:val="19"/>
          <w:lang w:eastAsia="x-none"/>
        </w:rPr>
        <w:t>  Note 3 to Chapter 32 says that these preparations are those of a kind used for colouring any material or used as ingredients in the manufacture of colouring preparations, provided that they are not classified in another heading in Chapter 32.</w:t>
      </w: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rFonts w:eastAsia="Times New Roman"/>
          <w:noProof/>
          <w:color w:val="444444"/>
          <w:sz w:val="19"/>
          <w:szCs w:val="19"/>
          <w:lang w:eastAsia="x-none"/>
        </w:rPr>
      </w:pPr>
      <w:hyperlink r:id="rId105" w:anchor="ntc4-L_2013054EN.01003001-E0004"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4</w:t>
        </w:r>
        <w:r w:rsidR="00935DDF">
          <w:rPr>
            <w:rStyle w:val="Hyperlink"/>
            <w:noProof/>
            <w:color w:val="800080"/>
            <w:sz w:val="19"/>
            <w:szCs w:val="19"/>
            <w:u w:val="none"/>
            <w:lang w:eastAsia="x-none"/>
          </w:rPr>
          <w:t>)</w:t>
        </w:r>
      </w:hyperlink>
      <w:r w:rsidR="00935DDF">
        <w:rPr>
          <w:noProof/>
          <w:color w:val="444444"/>
          <w:sz w:val="19"/>
          <w:szCs w:val="19"/>
          <w:lang w:eastAsia="x-none"/>
        </w:rPr>
        <w:t xml:space="preserve">  A </w:t>
      </w:r>
      <w:r w:rsidR="00935DDF">
        <w:rPr>
          <w:rFonts w:eastAsia="Times New Roman"/>
          <w:noProof/>
          <w:color w:val="444444"/>
          <w:sz w:val="19"/>
          <w:szCs w:val="19"/>
          <w:lang w:eastAsia="x-none"/>
        </w:rPr>
        <w:t>‘group’ is regarded as any part of the heading separated from the rest by a semicolon.</w:t>
      </w: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noProof/>
          <w:color w:val="444444"/>
          <w:sz w:val="19"/>
          <w:szCs w:val="19"/>
          <w:lang w:eastAsia="x-none"/>
        </w:rPr>
      </w:pPr>
      <w:hyperlink r:id="rId106" w:anchor="ntc5-L_2013054EN.01003001-E0005"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5</w:t>
        </w:r>
        <w:r w:rsidR="00935DDF">
          <w:rPr>
            <w:rStyle w:val="Hyperlink"/>
            <w:noProof/>
            <w:color w:val="800080"/>
            <w:sz w:val="19"/>
            <w:szCs w:val="19"/>
            <w:u w:val="none"/>
            <w:lang w:eastAsia="x-none"/>
          </w:rPr>
          <w:t>)</w:t>
        </w:r>
      </w:hyperlink>
      <w:r w:rsidR="00935DDF">
        <w:rPr>
          <w:noProof/>
          <w:color w:val="444444"/>
          <w:sz w:val="19"/>
          <w:szCs w:val="19"/>
          <w:lang w:eastAsia="x-none"/>
        </w:rPr>
        <w:t>  In the case of the products composed of materials classified within both headings 3901 to 3906, on the one hand, and within heading 3907 to 3911, on the other hand, this restriction only applies to that group of materials which predominates by weight in the product.</w:t>
      </w: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noProof/>
          <w:color w:val="444444"/>
          <w:sz w:val="19"/>
          <w:szCs w:val="19"/>
          <w:lang w:eastAsia="x-none"/>
        </w:rPr>
      </w:pPr>
      <w:hyperlink r:id="rId107" w:anchor="ntc6-L_2013054EN.01003001-E0006"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6</w:t>
        </w:r>
        <w:r w:rsidR="00935DDF">
          <w:rPr>
            <w:rStyle w:val="Hyperlink"/>
            <w:noProof/>
            <w:color w:val="800080"/>
            <w:sz w:val="19"/>
            <w:szCs w:val="19"/>
            <w:u w:val="none"/>
            <w:lang w:eastAsia="x-none"/>
          </w:rPr>
          <w:t>)</w:t>
        </w:r>
      </w:hyperlink>
      <w:r w:rsidR="00935DDF">
        <w:rPr>
          <w:noProof/>
          <w:color w:val="444444"/>
          <w:sz w:val="19"/>
          <w:szCs w:val="19"/>
          <w:lang w:eastAsia="x-none"/>
        </w:rPr>
        <w:t>  The following foils shall be considered as highly transparent: foils, the optical dimming of which, measured according to ASTM-D 1003-16 by Gardner Hazemeter (i.e. Hazefactor), is less than 2%.</w:t>
      </w: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noProof/>
          <w:color w:val="444444"/>
          <w:sz w:val="19"/>
          <w:szCs w:val="19"/>
          <w:lang w:eastAsia="x-none"/>
        </w:rPr>
      </w:pPr>
      <w:hyperlink r:id="rId108" w:anchor="ntc7-L_2013054EN.01003001-E0007"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7</w:t>
        </w:r>
        <w:r w:rsidR="00935DDF">
          <w:rPr>
            <w:rStyle w:val="Hyperlink"/>
            <w:noProof/>
            <w:color w:val="800080"/>
            <w:sz w:val="19"/>
            <w:szCs w:val="19"/>
            <w:u w:val="none"/>
            <w:lang w:eastAsia="x-none"/>
          </w:rPr>
          <w:t>)</w:t>
        </w:r>
      </w:hyperlink>
      <w:r w:rsidR="00935DDF">
        <w:rPr>
          <w:noProof/>
          <w:color w:val="444444"/>
          <w:sz w:val="19"/>
          <w:szCs w:val="19"/>
          <w:lang w:eastAsia="x-none"/>
        </w:rPr>
        <w:t>  For special conditions relating to products made of a mixture of textile materials, see Introductory Note 5.</w:t>
      </w: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noProof/>
          <w:color w:val="444444"/>
          <w:sz w:val="19"/>
          <w:szCs w:val="19"/>
          <w:lang w:eastAsia="x-none"/>
        </w:rPr>
      </w:pPr>
      <w:hyperlink r:id="rId109" w:anchor="ntc8-L_2013054EN.01003001-E0008"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8</w:t>
        </w:r>
        <w:r w:rsidR="00935DDF">
          <w:rPr>
            <w:rStyle w:val="Hyperlink"/>
            <w:noProof/>
            <w:color w:val="800080"/>
            <w:sz w:val="19"/>
            <w:szCs w:val="19"/>
            <w:u w:val="none"/>
            <w:lang w:eastAsia="x-none"/>
          </w:rPr>
          <w:t>)</w:t>
        </w:r>
      </w:hyperlink>
      <w:r w:rsidR="00935DDF">
        <w:rPr>
          <w:noProof/>
          <w:color w:val="444444"/>
          <w:sz w:val="19"/>
          <w:szCs w:val="19"/>
          <w:lang w:eastAsia="x-none"/>
        </w:rPr>
        <w:t>  The use of this material is restricted to the manufacture of woven fabrics of a kind used in paper-making machinery.</w:t>
      </w: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noProof/>
          <w:color w:val="444444"/>
          <w:sz w:val="19"/>
          <w:szCs w:val="19"/>
          <w:lang w:eastAsia="x-none"/>
        </w:rPr>
      </w:pPr>
      <w:hyperlink r:id="rId110" w:anchor="ntc9-L_2013054EN.01003001-E0009"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9</w:t>
        </w:r>
        <w:r w:rsidR="00935DDF">
          <w:rPr>
            <w:rStyle w:val="Hyperlink"/>
            <w:noProof/>
            <w:color w:val="800080"/>
            <w:sz w:val="19"/>
            <w:szCs w:val="19"/>
            <w:u w:val="none"/>
            <w:lang w:eastAsia="x-none"/>
          </w:rPr>
          <w:t>)</w:t>
        </w:r>
      </w:hyperlink>
      <w:r w:rsidR="00935DDF">
        <w:rPr>
          <w:noProof/>
          <w:color w:val="444444"/>
          <w:sz w:val="19"/>
          <w:szCs w:val="19"/>
          <w:lang w:eastAsia="x-none"/>
        </w:rPr>
        <w:t>  See Introductory Note 6.</w:t>
      </w: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noProof/>
          <w:color w:val="444444"/>
          <w:sz w:val="19"/>
          <w:szCs w:val="19"/>
          <w:lang w:eastAsia="x-none"/>
        </w:rPr>
      </w:pPr>
      <w:hyperlink r:id="rId111" w:anchor="ntc10-L_2013054EN.01003001-E0010"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10</w:t>
        </w:r>
        <w:r w:rsidR="00935DDF">
          <w:rPr>
            <w:rStyle w:val="Hyperlink"/>
            <w:noProof/>
            <w:color w:val="800080"/>
            <w:sz w:val="19"/>
            <w:szCs w:val="19"/>
            <w:u w:val="none"/>
            <w:lang w:eastAsia="x-none"/>
          </w:rPr>
          <w:t>)</w:t>
        </w:r>
      </w:hyperlink>
      <w:r w:rsidR="00935DDF">
        <w:rPr>
          <w:noProof/>
          <w:color w:val="444444"/>
          <w:sz w:val="19"/>
          <w:szCs w:val="19"/>
          <w:lang w:eastAsia="x-none"/>
        </w:rPr>
        <w:t>  For knitted or crocheted articles, not elastic or rubberised, obtained by sewing or assembling pieces of knitted or crocheted fabrics (cut out or knitted directly to shape), see Introductory Note 6.</w:t>
      </w: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rFonts w:eastAsia="Times New Roman"/>
          <w:noProof/>
          <w:color w:val="444444"/>
          <w:sz w:val="19"/>
          <w:szCs w:val="19"/>
          <w:lang w:eastAsia="x-none"/>
        </w:rPr>
      </w:pPr>
      <w:hyperlink r:id="rId112" w:anchor="ntc11-L_2013054EN.01003001-E0011"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11</w:t>
        </w:r>
        <w:r w:rsidR="00935DDF">
          <w:rPr>
            <w:rStyle w:val="Hyperlink"/>
            <w:noProof/>
            <w:color w:val="800080"/>
            <w:sz w:val="19"/>
            <w:szCs w:val="19"/>
            <w:u w:val="none"/>
            <w:lang w:eastAsia="x-none"/>
          </w:rPr>
          <w:t>)</w:t>
        </w:r>
      </w:hyperlink>
      <w:r w:rsidR="00935DDF">
        <w:rPr>
          <w:noProof/>
          <w:color w:val="444444"/>
          <w:sz w:val="19"/>
          <w:szCs w:val="19"/>
          <w:lang w:eastAsia="x-none"/>
        </w:rPr>
        <w:t xml:space="preserve">  SEMI </w:t>
      </w:r>
      <w:r w:rsidR="00935DDF">
        <w:rPr>
          <w:rFonts w:eastAsia="Times New Roman"/>
          <w:noProof/>
          <w:color w:val="444444"/>
          <w:sz w:val="19"/>
          <w:szCs w:val="19"/>
          <w:lang w:eastAsia="x-none"/>
        </w:rPr>
        <w:t>– Semiconductor Equipment and Materials Institute Incorporated.</w:t>
      </w:r>
    </w:p>
    <w:p w:rsidR="00D74962" w:rsidRDefault="00CA4433">
      <w:pPr>
        <w:pStyle w:val="note"/>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noProof/>
          <w:color w:val="444444"/>
          <w:sz w:val="19"/>
          <w:szCs w:val="19"/>
          <w:lang w:eastAsia="x-none"/>
        </w:rPr>
      </w:pPr>
      <w:hyperlink r:id="rId113" w:anchor="ntc12-L_2013054EN.01003001-E0012" w:history="1">
        <w:r w:rsidR="00935DDF">
          <w:rPr>
            <w:rStyle w:val="Hyperlink"/>
            <w:noProof/>
            <w:color w:val="800080"/>
            <w:sz w:val="19"/>
            <w:szCs w:val="19"/>
            <w:u w:val="none"/>
            <w:lang w:eastAsia="x-none"/>
          </w:rPr>
          <w:t>(</w:t>
        </w:r>
        <w:r w:rsidR="00935DDF">
          <w:rPr>
            <w:rStyle w:val="super"/>
            <w:noProof/>
            <w:color w:val="800080"/>
            <w:position w:val="3"/>
            <w:sz w:val="13"/>
            <w:szCs w:val="13"/>
            <w:lang w:eastAsia="x-none"/>
          </w:rPr>
          <w:t>12</w:t>
        </w:r>
        <w:r w:rsidR="00935DDF">
          <w:rPr>
            <w:rStyle w:val="Hyperlink"/>
            <w:noProof/>
            <w:color w:val="800080"/>
            <w:sz w:val="19"/>
            <w:szCs w:val="19"/>
            <w:u w:val="none"/>
            <w:lang w:eastAsia="x-none"/>
          </w:rPr>
          <w:t>)</w:t>
        </w:r>
      </w:hyperlink>
      <w:r w:rsidR="00935DDF">
        <w:rPr>
          <w:noProof/>
          <w:color w:val="444444"/>
          <w:sz w:val="19"/>
          <w:szCs w:val="19"/>
          <w:lang w:eastAsia="x-none"/>
        </w:rPr>
        <w:t>  This rule shall apply until 31.12.2005.</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III 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Specimens of movement certificate EUR.1 and application for a movement certificate EUR.1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Printing instructions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85"/>
        <w:gridCol w:w="8725"/>
      </w:tblGrid>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Each form shall measure 210 </w:t>
            </w:r>
            <w:r>
              <w:rPr>
                <w:rFonts w:ascii="Times New Roman" w:eastAsia="Times New Roman" w:hAnsi="Times New Roman" w:cs="Times New Roman"/>
                <w:noProof/>
                <w:color w:val="444444"/>
                <w:sz w:val="24"/>
                <w:szCs w:val="24"/>
                <w:lang w:eastAsia="x-none"/>
              </w:rPr>
              <w:t>× 297 mm; a tolerance of up to minus 5 mm or plus 8 mm in the length may be allowed. The paper used must be white, sized for writing, not containing mechanical pulp and weighing not less than 25 g/m</w:t>
            </w:r>
            <w:r>
              <w:rPr>
                <w:rFonts w:ascii="Times New Roman" w:hAnsi="Times New Roman" w:cs="Times New Roman"/>
                <w:noProof/>
                <w:color w:val="444444"/>
                <w:position w:val="4"/>
                <w:sz w:val="17"/>
                <w:szCs w:val="17"/>
                <w:lang w:eastAsia="x-none"/>
              </w:rPr>
              <w:t>2</w:t>
            </w:r>
            <w:r>
              <w:rPr>
                <w:rFonts w:ascii="Times New Roman" w:hAnsi="Times New Roman" w:cs="Times New Roman"/>
                <w:noProof/>
                <w:color w:val="444444"/>
                <w:sz w:val="24"/>
                <w:szCs w:val="24"/>
                <w:lang w:eastAsia="x-none"/>
              </w:rPr>
              <w:t>. It shall have a printed green guilloche pattern background making any falsification by mechanical or chemical means apparent to the eye.</w:t>
            </w: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competent authorities of the Contracting Parties may reserve the right to print the forms themselves or may have them printed by approved printers. In the latter case, each form shall include a reference to such approval. Each form shall bear the name and address of the printer or a mark by which the printer can be identified. It shall also bear a serial number, either printed or not, by which it can be identified</w:t>
            </w:r>
          </w:p>
        </w:tc>
      </w:tr>
    </w:tbl>
    <w:p w:rsidR="00D74962" w:rsidRDefault="00527A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r>
        <w:rPr>
          <w:rFonts w:ascii="Helvetica" w:hAnsi="Helvetica" w:cs="Helvetica"/>
          <w:noProof/>
          <w:sz w:val="24"/>
          <w:szCs w:val="24"/>
          <w:lang w:val="en-US"/>
        </w:rPr>
        <w:lastRenderedPageBreak/>
        <w:drawing>
          <wp:inline distT="0" distB="0" distL="0" distR="0">
            <wp:extent cx="5724525" cy="761047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4525" cy="7610475"/>
                    </a:xfrm>
                    <a:prstGeom prst="rect">
                      <a:avLst/>
                    </a:prstGeom>
                    <a:noFill/>
                    <a:ln>
                      <a:noFill/>
                    </a:ln>
                  </pic:spPr>
                </pic:pic>
              </a:graphicData>
            </a:graphic>
          </wp:inline>
        </w:drawing>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527A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r>
        <w:rPr>
          <w:rFonts w:ascii="Helvetica" w:hAnsi="Helvetica" w:cs="Helvetica"/>
          <w:noProof/>
          <w:sz w:val="24"/>
          <w:szCs w:val="24"/>
          <w:lang w:val="en-US"/>
        </w:rPr>
        <w:lastRenderedPageBreak/>
        <w:drawing>
          <wp:inline distT="0" distB="0" distL="0" distR="0">
            <wp:extent cx="5724525" cy="768667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24525" cy="7686675"/>
                    </a:xfrm>
                    <a:prstGeom prst="rect">
                      <a:avLst/>
                    </a:prstGeom>
                    <a:noFill/>
                    <a:ln>
                      <a:noFill/>
                    </a:ln>
                  </pic:spPr>
                </pic:pic>
              </a:graphicData>
            </a:graphic>
          </wp:inline>
        </w:drawing>
      </w:r>
    </w:p>
    <w:p w:rsidR="00D74962" w:rsidRDefault="00527A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r>
        <w:rPr>
          <w:rFonts w:ascii="Helvetica" w:hAnsi="Helvetica" w:cs="Helvetica"/>
          <w:noProof/>
          <w:sz w:val="24"/>
          <w:szCs w:val="24"/>
          <w:lang w:val="en-US"/>
        </w:rPr>
        <w:lastRenderedPageBreak/>
        <w:drawing>
          <wp:inline distT="0" distB="0" distL="0" distR="0">
            <wp:extent cx="5724525" cy="7629525"/>
            <wp:effectExtent l="0" t="0" r="9525"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24525" cy="7629525"/>
                    </a:xfrm>
                    <a:prstGeom prst="rect">
                      <a:avLst/>
                    </a:prstGeom>
                    <a:noFill/>
                    <a:ln>
                      <a:noFill/>
                    </a:ln>
                  </pic:spPr>
                </pic:pic>
              </a:graphicData>
            </a:graphic>
          </wp:inline>
        </w:drawing>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 xml:space="preserve">DECLARATION BY THE EXPORTER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I, the undersigned, exporter of the goods described overleaf,</w:t>
      </w:r>
      <w:r>
        <w:rPr>
          <w:rFonts w:ascii="MS Gothic" w:eastAsia="MS Gothic" w:cs="MS Gothic" w:hint="eastAsia"/>
          <w:noProof/>
          <w:color w:val="000000"/>
          <w:sz w:val="21"/>
          <w:szCs w:val="21"/>
          <w:lang w:eastAsia="x-none"/>
        </w:rPr>
        <w:t> </w:t>
      </w:r>
      <w:r>
        <w:rPr>
          <w:rFonts w:ascii="Times" w:hAnsi="Times" w:cs="Times"/>
          <w:noProof/>
          <w:color w:val="000000"/>
          <w:sz w:val="21"/>
          <w:szCs w:val="21"/>
          <w:lang w:eastAsia="x-none"/>
        </w:rPr>
        <w:t xml:space="preserve">DECLARE that the goods meet the conditions required for the issue of the attached certificate; SPECIFY as follows the circumstances which have enabled these goods to meet the above conditions: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 xml:space="preserve">........................................................................................................................................................................... .................................................................................................................................................................................................................................................................................................................................................................................................................................................................................................................................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1"/>
          <w:szCs w:val="21"/>
          <w:lang w:eastAsia="x-none"/>
        </w:rPr>
      </w:pPr>
      <w:r>
        <w:rPr>
          <w:rFonts w:ascii="Times" w:hAnsi="Times" w:cs="Times"/>
          <w:noProof/>
          <w:color w:val="000000"/>
          <w:sz w:val="21"/>
          <w:szCs w:val="21"/>
          <w:lang w:eastAsia="x-none"/>
        </w:rPr>
        <w:t>SUBMIT the following supporting documents(</w:t>
      </w:r>
      <w:r>
        <w:rPr>
          <w:rFonts w:ascii="Times" w:hAnsi="Times" w:cs="Times"/>
          <w:noProof/>
          <w:color w:val="000000"/>
          <w:position w:val="5"/>
          <w:sz w:val="13"/>
          <w:szCs w:val="13"/>
          <w:lang w:eastAsia="x-none"/>
        </w:rPr>
        <w:t>1</w:t>
      </w:r>
      <w:r>
        <w:rPr>
          <w:rFonts w:ascii="Times" w:hAnsi="Times" w:cs="Times"/>
          <w:noProof/>
          <w:color w:val="000000"/>
          <w:sz w:val="21"/>
          <w:szCs w:val="21"/>
          <w:lang w:eastAsia="x-none"/>
        </w:rPr>
        <w:t xml:space="preserve">): ............................................................................................................................................................................................................................................................................................................................................................................................................................................................................................................................................................................................................................................................................................................ </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1"/>
          <w:szCs w:val="21"/>
          <w:lang w:eastAsia="x-none"/>
        </w:rPr>
      </w:pPr>
    </w:p>
    <w:tbl>
      <w:tblPr>
        <w:tblW w:w="0" w:type="auto"/>
        <w:tblLayout w:type="fixed"/>
        <w:tblLook w:val="0000" w:firstRow="0" w:lastRow="0" w:firstColumn="0" w:lastColumn="0" w:noHBand="0" w:noVBand="0"/>
      </w:tblPr>
      <w:tblGrid>
        <w:gridCol w:w="1615"/>
        <w:gridCol w:w="7401"/>
      </w:tblGrid>
      <w:tr w:rsidR="00D74962">
        <w:tc>
          <w:tcPr>
            <w:tcW w:w="1615" w:type="dxa"/>
            <w:tcBorders>
              <w:top w:val="nil"/>
              <w:left w:val="nil"/>
              <w:bottom w:val="nil"/>
              <w:right w:val="nil"/>
            </w:tcBorders>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 xml:space="preserve">UNDERTAKE </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p>
        </w:tc>
        <w:tc>
          <w:tcPr>
            <w:tcW w:w="7401" w:type="dxa"/>
            <w:tcBorders>
              <w:top w:val="nil"/>
              <w:left w:val="nil"/>
              <w:bottom w:val="nil"/>
              <w:right w:val="nil"/>
            </w:tcBorders>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 xml:space="preserve">To submit, at the request of the appropriate authorities, any supporting evidence which these authorities may require for the purpose of issuing the attached certificate, and undertake, if required, to agree to any inspection of my accounts and to any check on the processes of manufacture of the above goods, carried out by the said authorities; </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p>
        </w:tc>
      </w:tr>
      <w:tr w:rsidR="00D74962">
        <w:tc>
          <w:tcPr>
            <w:tcW w:w="1615" w:type="dxa"/>
            <w:tcBorders>
              <w:top w:val="nil"/>
              <w:left w:val="nil"/>
              <w:bottom w:val="nil"/>
              <w:right w:val="nil"/>
            </w:tcBorders>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 xml:space="preserve">REQUEST </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1"/>
                <w:szCs w:val="21"/>
                <w:lang w:eastAsia="x-none"/>
              </w:rPr>
            </w:pPr>
          </w:p>
        </w:tc>
        <w:tc>
          <w:tcPr>
            <w:tcW w:w="7401" w:type="dxa"/>
            <w:tcBorders>
              <w:top w:val="nil"/>
              <w:left w:val="nil"/>
              <w:bottom w:val="nil"/>
              <w:right w:val="nil"/>
            </w:tcBorders>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 xml:space="preserve">the issue of the attached certificate for these goods. </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1"/>
                <w:szCs w:val="21"/>
                <w:lang w:eastAsia="x-none"/>
              </w:rPr>
            </w:pPr>
          </w:p>
        </w:tc>
      </w:tr>
    </w:tbl>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noProof/>
          <w:color w:val="000000"/>
          <w:sz w:val="24"/>
          <w:szCs w:val="24"/>
          <w:lang w:eastAsia="x-none"/>
        </w:rPr>
      </w:pPr>
      <w:r>
        <w:rPr>
          <w:rFonts w:ascii="Times" w:hAnsi="Times" w:cs="Times"/>
          <w:noProof/>
          <w:color w:val="000000"/>
          <w:sz w:val="21"/>
          <w:szCs w:val="21"/>
          <w:lang w:eastAsia="x-none"/>
        </w:rPr>
        <w:t xml:space="preserve">..........................................................................................................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noProof/>
          <w:color w:val="000000"/>
          <w:sz w:val="24"/>
          <w:szCs w:val="24"/>
          <w:lang w:eastAsia="x-none"/>
        </w:rPr>
      </w:pPr>
      <w:r>
        <w:rPr>
          <w:rFonts w:ascii="Times" w:hAnsi="Times" w:cs="Times"/>
          <w:i/>
          <w:iCs/>
          <w:noProof/>
          <w:color w:val="000000"/>
          <w:sz w:val="21"/>
          <w:szCs w:val="21"/>
          <w:lang w:eastAsia="x-none"/>
        </w:rPr>
        <w:t xml:space="preserve">(Place and date)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noProof/>
          <w:color w:val="000000"/>
          <w:sz w:val="24"/>
          <w:szCs w:val="24"/>
          <w:lang w:eastAsia="x-none"/>
        </w:rPr>
      </w:pPr>
      <w:r>
        <w:rPr>
          <w:rFonts w:ascii="Times" w:hAnsi="Times" w:cs="Times"/>
          <w:noProof/>
          <w:color w:val="000000"/>
          <w:sz w:val="21"/>
          <w:szCs w:val="21"/>
          <w:lang w:eastAsia="x-none"/>
        </w:rPr>
        <w:t xml:space="preserve">..........................................................................................................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r>
        <w:rPr>
          <w:rFonts w:ascii="Times" w:hAnsi="Times" w:cs="Times"/>
          <w:i/>
          <w:iCs/>
          <w:noProof/>
          <w:color w:val="000000"/>
          <w:sz w:val="21"/>
          <w:szCs w:val="21"/>
          <w:lang w:eastAsia="x-none"/>
        </w:rPr>
        <w:t xml:space="preserve">(Signature) </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CA4433">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hyperlink r:id="rId117" w:anchor="ntc1-L_2013054EN.01010201-E0001"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1</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shd w:val="clear" w:color="auto" w:fill="FFFFFF"/>
          <w:lang w:eastAsia="x-none"/>
        </w:rPr>
        <w:t>  For example: import documents, movement certificates, invoices, manufacturer</w:t>
      </w:r>
      <w:r w:rsidR="00935DDF">
        <w:rPr>
          <w:rFonts w:ascii="Times New Roman" w:eastAsia="Times New Roman" w:hAnsi="Times New Roman" w:cs="Times New Roman"/>
          <w:noProof/>
          <w:color w:val="444444"/>
          <w:sz w:val="19"/>
          <w:szCs w:val="19"/>
          <w:shd w:val="clear" w:color="auto" w:fill="FFFFFF"/>
          <w:lang w:eastAsia="x-none"/>
        </w:rPr>
        <w:t>’s declarations, etc., referring to the products used in manufacture or to the goods re-exported in the same state.</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i/>
          <w:iCs/>
          <w:noProof/>
          <w:color w:val="000000"/>
          <w:sz w:val="21"/>
          <w:szCs w:val="21"/>
          <w:lang w:eastAsia="x-none"/>
        </w:rPr>
        <w:t xml:space="preserve">ANNEX III b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b/>
          <w:bCs/>
          <w:noProof/>
          <w:color w:val="000000"/>
          <w:sz w:val="21"/>
          <w:szCs w:val="21"/>
          <w:lang w:eastAsia="x-none"/>
        </w:rPr>
        <w:t xml:space="preserve">Specimens of movement certificate EUR-MED and application for a movement certificate EUR-MED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b/>
          <w:bCs/>
          <w:noProof/>
          <w:color w:val="000000"/>
          <w:sz w:val="21"/>
          <w:szCs w:val="21"/>
          <w:lang w:eastAsia="x-none"/>
        </w:rPr>
        <w:t xml:space="preserve">Printing instructions </w:t>
      </w:r>
    </w:p>
    <w:p w:rsidR="00D74962" w:rsidRDefault="00935DDF">
      <w:pPr>
        <w:widowControl w:val="0"/>
        <w:numPr>
          <w:ilvl w:val="0"/>
          <w:numId w:val="1"/>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rPr>
          <w:rFonts w:ascii="Times" w:hAnsi="Times" w:cs="Times"/>
          <w:noProof/>
          <w:color w:val="000000"/>
          <w:sz w:val="21"/>
          <w:szCs w:val="21"/>
          <w:lang w:eastAsia="x-none"/>
        </w:rPr>
      </w:pPr>
      <w:r>
        <w:rPr>
          <w:rFonts w:ascii="Times" w:hAnsi="Times" w:cs="Times"/>
          <w:noProof/>
          <w:color w:val="000000"/>
          <w:sz w:val="21"/>
          <w:szCs w:val="21"/>
          <w:lang w:eastAsia="x-none"/>
        </w:rPr>
        <w:t xml:space="preserve">Each form shall measure 210 </w:t>
      </w:r>
      <w:r>
        <w:rPr>
          <w:rFonts w:ascii="Times" w:eastAsia="Times New Roman" w:hAnsi="Times" w:cs="Times"/>
          <w:noProof/>
          <w:color w:val="000000"/>
          <w:sz w:val="21"/>
          <w:szCs w:val="21"/>
          <w:lang w:eastAsia="x-none"/>
        </w:rPr>
        <w:t>× 297 mm; a tolerance of up to minus 5 mm or plus 8 mm in the length may be allowed. The paper used shall be white, sized for writing, not containing mechanical pulp and weighing not less than 25 g/m</w:t>
      </w:r>
      <w:r>
        <w:rPr>
          <w:rFonts w:ascii="Times" w:hAnsi="Times" w:cs="Times"/>
          <w:noProof/>
          <w:color w:val="000000"/>
          <w:position w:val="8"/>
          <w:sz w:val="16"/>
          <w:szCs w:val="16"/>
          <w:lang w:eastAsia="x-none"/>
        </w:rPr>
        <w:t>2</w:t>
      </w:r>
      <w:r>
        <w:rPr>
          <w:rFonts w:ascii="Times" w:hAnsi="Times" w:cs="Times"/>
          <w:noProof/>
          <w:color w:val="000000"/>
          <w:sz w:val="21"/>
          <w:szCs w:val="21"/>
          <w:lang w:eastAsia="x-none"/>
        </w:rPr>
        <w:t xml:space="preserve">. It shall have a printed green guilloche pattern background making any falsification by mechanical or chemical means apparent to the eye. </w:t>
      </w:r>
      <w:r>
        <w:rPr>
          <w:rFonts w:ascii="MS Gothic" w:eastAsia="MS Gothic" w:cs="MS Gothic" w:hint="eastAsia"/>
          <w:noProof/>
          <w:color w:val="000000"/>
          <w:sz w:val="21"/>
          <w:szCs w:val="21"/>
          <w:lang w:eastAsia="x-none"/>
        </w:rPr>
        <w:t> </w:t>
      </w:r>
    </w:p>
    <w:p w:rsidR="00D74962" w:rsidRDefault="00935DDF">
      <w:pPr>
        <w:widowControl w:val="0"/>
        <w:numPr>
          <w:ilvl w:val="0"/>
          <w:numId w:val="1"/>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rPr>
          <w:rFonts w:ascii="Times" w:hAnsi="Times" w:cs="Times"/>
          <w:noProof/>
          <w:color w:val="000000"/>
          <w:sz w:val="21"/>
          <w:szCs w:val="21"/>
          <w:lang w:eastAsia="x-none"/>
        </w:rPr>
      </w:pPr>
      <w:r>
        <w:rPr>
          <w:rFonts w:ascii="Times" w:hAnsi="Times" w:cs="Times"/>
          <w:noProof/>
          <w:color w:val="000000"/>
          <w:sz w:val="21"/>
          <w:szCs w:val="21"/>
          <w:lang w:eastAsia="x-none"/>
        </w:rPr>
        <w:t xml:space="preserve">The competent authorities of the Contracting Parties may reserve the right to print the forms themselves or may have them printed by approved printers. In the latter case, each form shall include a reference to </w:t>
      </w:r>
      <w:r>
        <w:rPr>
          <w:rFonts w:ascii="Times" w:hAnsi="Times" w:cs="Times"/>
          <w:noProof/>
          <w:color w:val="000000"/>
          <w:sz w:val="21"/>
          <w:szCs w:val="21"/>
          <w:lang w:eastAsia="x-none"/>
        </w:rPr>
        <w:lastRenderedPageBreak/>
        <w:t xml:space="preserve">such approval. Each form shall bear the name and address of the printer or a mark by which the printer can be identified. It shall also bear a serial number, either printed or not, by which it can be identified. </w:t>
      </w:r>
      <w:r>
        <w:rPr>
          <w:rFonts w:ascii="MS Gothic" w:eastAsia="MS Gothic" w:cs="MS Gothic" w:hint="eastAsia"/>
          <w:noProof/>
          <w:color w:val="000000"/>
          <w:sz w:val="21"/>
          <w:szCs w:val="21"/>
          <w:lang w:eastAsia="x-none"/>
        </w:rPr>
        <w:t> </w:t>
      </w:r>
    </w:p>
    <w:p w:rsidR="00D74962" w:rsidRDefault="00D74962">
      <w:pPr>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rPr>
          <w:rFonts w:ascii="Times New Roman" w:hAnsi="Times New Roman" w:cs="Times New Roman"/>
          <w:noProof/>
          <w:color w:val="000000"/>
          <w:sz w:val="21"/>
          <w:szCs w:val="21"/>
          <w:lang w:eastAsia="x-none"/>
        </w:rPr>
      </w:pPr>
    </w:p>
    <w:p w:rsidR="00D74962" w:rsidRDefault="00527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4"/>
          <w:szCs w:val="24"/>
          <w:lang w:val="en-US"/>
        </w:rPr>
        <w:lastRenderedPageBreak/>
        <w:drawing>
          <wp:inline distT="0" distB="0" distL="0" distR="0">
            <wp:extent cx="6372225" cy="8629650"/>
            <wp:effectExtent l="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72225" cy="8629650"/>
                    </a:xfrm>
                    <a:prstGeom prst="rect">
                      <a:avLst/>
                    </a:prstGeom>
                    <a:noFill/>
                    <a:ln>
                      <a:noFill/>
                    </a:ln>
                  </pic:spPr>
                </pic:pic>
              </a:graphicData>
            </a:graphic>
          </wp:inline>
        </w:drawing>
      </w:r>
      <w:r w:rsidR="00935DDF">
        <w:rPr>
          <w:rFonts w:ascii="Times" w:hAnsi="Times" w:cs="Times"/>
          <w:noProof/>
          <w:color w:val="000000"/>
          <w:sz w:val="24"/>
          <w:szCs w:val="24"/>
          <w:lang w:eastAsia="x-none"/>
        </w:rPr>
        <w:t xml:space="preserve"> </w:t>
      </w:r>
    </w:p>
    <w:p w:rsidR="00D74962" w:rsidRDefault="00527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4"/>
          <w:szCs w:val="24"/>
          <w:lang w:val="en-US"/>
        </w:rPr>
        <w:lastRenderedPageBreak/>
        <w:drawing>
          <wp:inline distT="0" distB="0" distL="0" distR="0">
            <wp:extent cx="6438900" cy="52959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38900" cy="5295900"/>
                    </a:xfrm>
                    <a:prstGeom prst="rect">
                      <a:avLst/>
                    </a:prstGeom>
                    <a:noFill/>
                    <a:ln>
                      <a:noFill/>
                    </a:ln>
                  </pic:spPr>
                </pic:pic>
              </a:graphicData>
            </a:graphic>
          </wp:inline>
        </w:drawing>
      </w:r>
      <w:r w:rsidR="00935DDF">
        <w:rPr>
          <w:rFonts w:ascii="Times" w:hAnsi="Times" w:cs="Times"/>
          <w:noProof/>
          <w:color w:val="000000"/>
          <w:sz w:val="24"/>
          <w:szCs w:val="24"/>
          <w:lang w:eastAsia="x-none"/>
        </w:rPr>
        <w:t xml:space="preserve"> </w:t>
      </w:r>
    </w:p>
    <w:p w:rsidR="00D74962" w:rsidRDefault="00D74962">
      <w:pPr>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rPr>
          <w:rFonts w:ascii="Times" w:hAnsi="Times" w:cs="Times"/>
          <w:noProof/>
          <w:color w:val="000000"/>
          <w:sz w:val="21"/>
          <w:szCs w:val="21"/>
          <w:lang w:eastAsia="x-none"/>
        </w:rPr>
      </w:pPr>
    </w:p>
    <w:p w:rsidR="00D74962" w:rsidRDefault="00D74962">
      <w:pPr>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rPr>
          <w:rFonts w:ascii="Times" w:hAnsi="Times" w:cs="Times"/>
          <w:noProof/>
          <w:color w:val="000000"/>
          <w:sz w:val="21"/>
          <w:szCs w:val="21"/>
          <w:lang w:eastAsia="x-none"/>
        </w:rPr>
      </w:pPr>
    </w:p>
    <w:p w:rsidR="00D74962" w:rsidRDefault="00D74962">
      <w:pPr>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rPr>
          <w:rFonts w:ascii="Times" w:hAnsi="Times" w:cs="Times"/>
          <w:noProof/>
          <w:color w:val="000000"/>
          <w:sz w:val="21"/>
          <w:szCs w:val="21"/>
          <w:lang w:eastAsia="x-none"/>
        </w:rPr>
      </w:pPr>
    </w:p>
    <w:p w:rsidR="00D74962" w:rsidRDefault="00D74962">
      <w:pPr>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rPr>
          <w:rFonts w:ascii="Times" w:hAnsi="Times" w:cs="Times"/>
          <w:noProof/>
          <w:color w:val="000000"/>
          <w:sz w:val="21"/>
          <w:szCs w:val="21"/>
          <w:lang w:eastAsia="x-none"/>
        </w:rPr>
      </w:pPr>
    </w:p>
    <w:p w:rsidR="00D74962" w:rsidRDefault="00527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4"/>
          <w:szCs w:val="24"/>
          <w:lang w:val="en-US"/>
        </w:rPr>
        <w:lastRenderedPageBreak/>
        <w:drawing>
          <wp:inline distT="0" distB="0" distL="0" distR="0">
            <wp:extent cx="6372225" cy="8801100"/>
            <wp:effectExtent l="0" t="0" r="952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72225" cy="8801100"/>
                    </a:xfrm>
                    <a:prstGeom prst="rect">
                      <a:avLst/>
                    </a:prstGeom>
                    <a:noFill/>
                    <a:ln>
                      <a:noFill/>
                    </a:ln>
                  </pic:spPr>
                </pic:pic>
              </a:graphicData>
            </a:graphic>
          </wp:inline>
        </w:drawing>
      </w:r>
      <w:r w:rsidR="00935DDF">
        <w:rPr>
          <w:rFonts w:ascii="Times" w:hAnsi="Times" w:cs="Times"/>
          <w:noProof/>
          <w:color w:val="000000"/>
          <w:sz w:val="24"/>
          <w:szCs w:val="24"/>
          <w:lang w:eastAsia="x-none"/>
        </w:rPr>
        <w:t xml:space="preserve">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lastRenderedPageBreak/>
        <w:t xml:space="preserve">DECLARATION BY THE EXPORTER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I, the undersigned, exporter of the goods described overleaf,</w:t>
      </w:r>
      <w:r>
        <w:rPr>
          <w:rFonts w:ascii="MS Gothic" w:eastAsia="MS Gothic" w:cs="MS Gothic" w:hint="eastAsia"/>
          <w:noProof/>
          <w:color w:val="000000"/>
          <w:sz w:val="21"/>
          <w:szCs w:val="21"/>
          <w:lang w:eastAsia="x-none"/>
        </w:rPr>
        <w:t> </w:t>
      </w:r>
      <w:r>
        <w:rPr>
          <w:rFonts w:ascii="Times" w:hAnsi="Times" w:cs="Times"/>
          <w:noProof/>
          <w:color w:val="000000"/>
          <w:sz w:val="21"/>
          <w:szCs w:val="21"/>
          <w:lang w:eastAsia="x-none"/>
        </w:rPr>
        <w:t xml:space="preserve">DECLARE that the goods meet the conditions required for the issue of the attached certificate; SPECIFY as follows the circumstances which have enabled these goods to meet the above conditions: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 xml:space="preserve">........................................................................................................................................................................... .................................................................................................................................................................................................................................................................................................................................................................................................................................................................................................................................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1"/>
          <w:szCs w:val="21"/>
          <w:lang w:eastAsia="x-none"/>
        </w:rPr>
      </w:pPr>
      <w:r>
        <w:rPr>
          <w:rFonts w:ascii="Times" w:hAnsi="Times" w:cs="Times"/>
          <w:noProof/>
          <w:color w:val="000000"/>
          <w:sz w:val="21"/>
          <w:szCs w:val="21"/>
          <w:lang w:eastAsia="x-none"/>
        </w:rPr>
        <w:t>SUBMIT the following supporting documents(</w:t>
      </w:r>
      <w:r>
        <w:rPr>
          <w:rFonts w:ascii="Times" w:hAnsi="Times" w:cs="Times"/>
          <w:noProof/>
          <w:color w:val="000000"/>
          <w:position w:val="5"/>
          <w:sz w:val="13"/>
          <w:szCs w:val="13"/>
          <w:lang w:eastAsia="x-none"/>
        </w:rPr>
        <w:t>1</w:t>
      </w:r>
      <w:r>
        <w:rPr>
          <w:rFonts w:ascii="Times" w:hAnsi="Times" w:cs="Times"/>
          <w:noProof/>
          <w:color w:val="000000"/>
          <w:sz w:val="21"/>
          <w:szCs w:val="21"/>
          <w:lang w:eastAsia="x-none"/>
        </w:rPr>
        <w:t xml:space="preserve">): ............................................................................................................................................................................................................................................................................................................................................................................................................................................................................................................................................................................................................................................................................................................ </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1"/>
          <w:szCs w:val="21"/>
          <w:lang w:eastAsia="x-none"/>
        </w:rPr>
      </w:pPr>
    </w:p>
    <w:tbl>
      <w:tblPr>
        <w:tblW w:w="0" w:type="auto"/>
        <w:tblLayout w:type="fixed"/>
        <w:tblLook w:val="0000" w:firstRow="0" w:lastRow="0" w:firstColumn="0" w:lastColumn="0" w:noHBand="0" w:noVBand="0"/>
      </w:tblPr>
      <w:tblGrid>
        <w:gridCol w:w="1615"/>
        <w:gridCol w:w="7401"/>
      </w:tblGrid>
      <w:tr w:rsidR="00D74962">
        <w:tc>
          <w:tcPr>
            <w:tcW w:w="1615" w:type="dxa"/>
            <w:tcBorders>
              <w:top w:val="nil"/>
              <w:left w:val="nil"/>
              <w:bottom w:val="nil"/>
              <w:right w:val="nil"/>
            </w:tcBorders>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 xml:space="preserve">UNDERTAKE </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p>
        </w:tc>
        <w:tc>
          <w:tcPr>
            <w:tcW w:w="7401" w:type="dxa"/>
            <w:tcBorders>
              <w:top w:val="nil"/>
              <w:left w:val="nil"/>
              <w:bottom w:val="nil"/>
              <w:right w:val="nil"/>
            </w:tcBorders>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 xml:space="preserve">To submit, at the request of the appropriate authorities, any supporting evidence which these authorities may require for the purpose of issuing the attached certificate, and undertake, if required, to agree to any inspection of my accounts and to any check on the processes of manufacture of the above goods, carried out by the said authorities; </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p>
        </w:tc>
      </w:tr>
      <w:tr w:rsidR="00D74962">
        <w:tc>
          <w:tcPr>
            <w:tcW w:w="1615" w:type="dxa"/>
            <w:tcBorders>
              <w:top w:val="nil"/>
              <w:left w:val="nil"/>
              <w:bottom w:val="nil"/>
              <w:right w:val="nil"/>
            </w:tcBorders>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 xml:space="preserve">REQUEST </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1"/>
                <w:szCs w:val="21"/>
                <w:lang w:eastAsia="x-none"/>
              </w:rPr>
            </w:pPr>
          </w:p>
        </w:tc>
        <w:tc>
          <w:tcPr>
            <w:tcW w:w="7401" w:type="dxa"/>
            <w:tcBorders>
              <w:top w:val="nil"/>
              <w:left w:val="nil"/>
              <w:bottom w:val="nil"/>
              <w:right w:val="nil"/>
            </w:tcBorders>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 xml:space="preserve">the issue of the attached certificate for these goods. </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1"/>
                <w:szCs w:val="21"/>
                <w:lang w:eastAsia="x-none"/>
              </w:rPr>
            </w:pPr>
          </w:p>
        </w:tc>
      </w:tr>
    </w:tbl>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 xml:space="preserve">..........................................................................................................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i/>
          <w:iCs/>
          <w:noProof/>
          <w:color w:val="000000"/>
          <w:sz w:val="21"/>
          <w:szCs w:val="21"/>
          <w:lang w:eastAsia="x-none"/>
        </w:rPr>
        <w:t xml:space="preserve">(Place and date)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noProof/>
          <w:color w:val="000000"/>
          <w:sz w:val="21"/>
          <w:szCs w:val="21"/>
          <w:lang w:eastAsia="x-none"/>
        </w:rPr>
        <w:t xml:space="preserve">.......................................................................................................... </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w:hAnsi="Times" w:cs="Times"/>
          <w:noProof/>
          <w:color w:val="000000"/>
          <w:sz w:val="24"/>
          <w:szCs w:val="24"/>
          <w:lang w:eastAsia="x-none"/>
        </w:rPr>
      </w:pPr>
      <w:r>
        <w:rPr>
          <w:rFonts w:ascii="Times" w:hAnsi="Times" w:cs="Times"/>
          <w:i/>
          <w:iCs/>
          <w:noProof/>
          <w:color w:val="000000"/>
          <w:sz w:val="21"/>
          <w:szCs w:val="21"/>
          <w:lang w:eastAsia="x-none"/>
        </w:rPr>
        <w:t xml:space="preserve">(Signature) </w:t>
      </w:r>
    </w:p>
    <w:p w:rsidR="00D74962" w:rsidRDefault="00D74962">
      <w:pPr>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rPr>
          <w:rFonts w:ascii="Times" w:hAnsi="Times" w:cs="Times"/>
          <w:noProof/>
          <w:color w:val="000000"/>
          <w:sz w:val="21"/>
          <w:szCs w:val="21"/>
          <w:lang w:eastAsia="x-none"/>
        </w:rPr>
      </w:pP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i/>
          <w:iCs/>
          <w:noProof/>
          <w:color w:val="000000"/>
          <w:sz w:val="21"/>
          <w:szCs w:val="21"/>
          <w:lang w:eastAsia="x-none"/>
        </w:rPr>
      </w:pP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ascii="Times" w:hAnsi="Times" w:cs="Times"/>
          <w:noProof/>
          <w:color w:val="000000"/>
          <w:sz w:val="24"/>
          <w:szCs w:val="24"/>
          <w:lang w:eastAsia="x-none"/>
        </w:rPr>
      </w:pP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ANNEX IVa</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Text of the origin declaration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The origin declaration, the text of which is given below, must be made out in accordance with the footnotes. However, the footnotes do not have to be reproduced.</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Albanian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Eksportuesi i produkteve t</w:t>
      </w:r>
      <w:r>
        <w:rPr>
          <w:rFonts w:ascii="Times New Roman" w:eastAsia="Times New Roman" w:hAnsi="Times New Roman" w:cs="Times New Roman"/>
          <w:noProof/>
          <w:color w:val="343434"/>
          <w:lang w:eastAsia="x-none"/>
        </w:rPr>
        <w:t>ë mbuluara nga ky dokument (autorizim doganor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deklaron q</w:t>
      </w:r>
      <w:r>
        <w:rPr>
          <w:rFonts w:ascii="Times New Roman" w:eastAsia="Times New Roman" w:hAnsi="Times New Roman" w:cs="Times New Roman"/>
          <w:noProof/>
          <w:color w:val="343434"/>
          <w:lang w:eastAsia="x-none"/>
        </w:rPr>
        <w:t>ë përveç rasteve kur tregohet qartësisht ndryshe, këto produkte janë me origjine preferenciale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Bosnian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Izvoznik proizvoda obuhva</w:t>
      </w:r>
      <w:r>
        <w:rPr>
          <w:rFonts w:ascii="Times New Roman" w:eastAsia="Times New Roman" w:hAnsi="Times New Roman" w:cs="Times New Roman"/>
          <w:noProof/>
          <w:color w:val="343434"/>
          <w:lang w:eastAsia="x-none"/>
        </w:rPr>
        <w:t>ćenih ovom ispravom (carinsko ovlaštenje br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izjavljuje da su, osim ako je to druga</w:t>
      </w:r>
      <w:r>
        <w:rPr>
          <w:rFonts w:ascii="Times New Roman" w:eastAsia="Times New Roman" w:hAnsi="Times New Roman" w:cs="Times New Roman"/>
          <w:noProof/>
          <w:color w:val="343434"/>
          <w:lang w:eastAsia="x-none"/>
        </w:rPr>
        <w:t>čije izričito navedeno, ovi proizvodi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preferencijalnog porijekla.</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Bulgarian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Износителят на продуктите, обхванати от този документ (митническо разрешение №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lastRenderedPageBreak/>
        <w:t>декларира, че освен където ясно е отбелязано друго, тези продукти са с … преференциален произход</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Spanish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El exportador de los productos incluidos en el presente documento (autorizaci</w:t>
      </w:r>
      <w:r>
        <w:rPr>
          <w:rFonts w:ascii="Times New Roman" w:eastAsia="Times New Roman" w:hAnsi="Times New Roman" w:cs="Times New Roman"/>
          <w:noProof/>
          <w:color w:val="343434"/>
          <w:lang w:eastAsia="x-none"/>
        </w:rPr>
        <w:t>ón aduanera n</w:t>
      </w:r>
      <w:r>
        <w:rPr>
          <w:rFonts w:ascii="Times New Roman" w:hAnsi="Times New Roman" w:cs="Times New Roman"/>
          <w:noProof/>
          <w:color w:val="343434"/>
          <w:position w:val="5"/>
          <w:lang w:eastAsia="x-none"/>
        </w:rPr>
        <w:t>o</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declara que, salvo indicaci</w:t>
      </w:r>
      <w:r>
        <w:rPr>
          <w:rFonts w:ascii="Times New Roman" w:eastAsia="Times New Roman" w:hAnsi="Times New Roman" w:cs="Times New Roman"/>
          <w:noProof/>
          <w:color w:val="343434"/>
          <w:lang w:eastAsia="x-none"/>
        </w:rPr>
        <w:t>ón en sentido contrario, estos productos gozan de un origen preferencial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Croatian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Izvoznik proizvoda obuhva</w:t>
      </w:r>
      <w:r>
        <w:rPr>
          <w:rFonts w:ascii="Times New Roman" w:eastAsia="Times New Roman" w:hAnsi="Times New Roman" w:cs="Times New Roman"/>
          <w:noProof/>
          <w:color w:val="343434"/>
          <w:lang w:eastAsia="x-none"/>
        </w:rPr>
        <w:t>ćenih ovom ispravom (carinsko ovlaštenje br.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izjavljuje da su, osim ako je to druga</w:t>
      </w:r>
      <w:r>
        <w:rPr>
          <w:rFonts w:ascii="Times New Roman" w:eastAsia="Times New Roman" w:hAnsi="Times New Roman" w:cs="Times New Roman"/>
          <w:noProof/>
          <w:color w:val="343434"/>
          <w:lang w:eastAsia="x-none"/>
        </w:rPr>
        <w:t>čije izričito navedeno</w:t>
      </w:r>
      <w:r>
        <w:rPr>
          <w:rFonts w:ascii="Times New Roman" w:hAnsi="Times New Roman" w:cs="Times New Roman"/>
          <w:noProof/>
          <w:color w:val="343434"/>
          <w:lang w:eastAsia="x-none"/>
        </w:rPr>
        <w:t xml:space="preserve">, ovi proizvodi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preferencijalnog podrijetla.</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Czech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V</w:t>
      </w:r>
      <w:r>
        <w:rPr>
          <w:rFonts w:ascii="Times New Roman" w:eastAsia="Times New Roman" w:hAnsi="Times New Roman" w:cs="Times New Roman"/>
          <w:noProof/>
          <w:color w:val="343434"/>
          <w:lang w:eastAsia="x-none"/>
        </w:rPr>
        <w:t>ývozce výrobků uvedených v tomto dokumentu (číslo povolení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prohla</w:t>
      </w:r>
      <w:r>
        <w:rPr>
          <w:rFonts w:ascii="Times New Roman" w:eastAsia="Times New Roman" w:hAnsi="Times New Roman" w:cs="Times New Roman"/>
          <w:noProof/>
          <w:color w:val="343434"/>
          <w:lang w:eastAsia="x-none"/>
        </w:rPr>
        <w:t>šuje, že kromě zřetelně označených mají tyto výrobky preferenční původ v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Danish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Eksport</w:t>
      </w:r>
      <w:r>
        <w:rPr>
          <w:rFonts w:ascii="Times New Roman" w:eastAsia="Times New Roman" w:hAnsi="Times New Roman" w:cs="Times New Roman"/>
          <w:noProof/>
          <w:color w:val="343434"/>
          <w:lang w:eastAsia="x-none"/>
        </w:rPr>
        <w:t>øren af varer, der er omfattet af nærværende dokument, (toldmyndighedernes tilladelse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erkl</w:t>
      </w:r>
      <w:r>
        <w:rPr>
          <w:rFonts w:ascii="Times New Roman" w:eastAsia="Times New Roman" w:hAnsi="Times New Roman" w:cs="Times New Roman"/>
          <w:noProof/>
          <w:color w:val="343434"/>
          <w:lang w:eastAsia="x-none"/>
        </w:rPr>
        <w:t>ærer, at varerne, medmindre andet tydeligt er angivet, har præferenceoprindelse i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German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Der Ausf</w:t>
      </w:r>
      <w:r>
        <w:rPr>
          <w:rFonts w:ascii="Times New Roman" w:eastAsia="Times New Roman" w:hAnsi="Times New Roman" w:cs="Times New Roman"/>
          <w:noProof/>
          <w:color w:val="343434"/>
          <w:lang w:eastAsia="x-none"/>
        </w:rPr>
        <w:t>ührer (Ermächtigter Ausführer; Bewilligungs-Nr.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der Waren, auf die sich dieses Handelspapier bezieht, erkl</w:t>
      </w:r>
      <w:r>
        <w:rPr>
          <w:rFonts w:ascii="Times New Roman" w:eastAsia="Times New Roman" w:hAnsi="Times New Roman" w:cs="Times New Roman"/>
          <w:noProof/>
          <w:color w:val="343434"/>
          <w:lang w:eastAsia="x-none"/>
        </w:rPr>
        <w:t>ärt, dass diese Waren, soweit nicht anderes angegeben, präferenzbegünstigte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Ursprungswaren sind.</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Estonian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hAnsi="Times New Roman" w:cs="Times New Roman"/>
          <w:noProof/>
          <w:color w:val="343434"/>
          <w:lang w:eastAsia="x-none"/>
        </w:rPr>
        <w:t>K</w:t>
      </w:r>
      <w:r>
        <w:rPr>
          <w:rFonts w:ascii="Times New Roman" w:eastAsia="Times New Roman" w:hAnsi="Times New Roman" w:cs="Times New Roman"/>
          <w:noProof/>
          <w:color w:val="343434"/>
          <w:lang w:eastAsia="x-none"/>
        </w:rPr>
        <w:t>äesoleva dokumendiga hõlmatud toodete eksportija (tolliameti kinnitus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deklareerib, et need tooted on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soodusp</w:t>
      </w:r>
      <w:r>
        <w:rPr>
          <w:rFonts w:ascii="Times New Roman" w:eastAsia="Times New Roman" w:hAnsi="Times New Roman" w:cs="Times New Roman"/>
          <w:noProof/>
          <w:color w:val="343434"/>
          <w:lang w:eastAsia="x-none"/>
        </w:rPr>
        <w:t>äritoluga, välja arvatud juhul kui on selgelt näidatud teisiti.</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Greek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Ο εξαγωγέας των προϊόντων που καλύπτονται από το παρόν έγγραφο (άδεια τελωνείου υπ'αριθ.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δηλώνει ότι, εκτός εάν δηλώνεται σαφώς άλλως, τα προϊόντα αυτά είναι προτιμησιακής καταγωγής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English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 xml:space="preserve">The exporter of the products covered by this document (customs authorization No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declares that, except where otherwise clearly indicated, these products are of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preferential origin.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French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L'exportateur des produits couverts par le pr</w:t>
      </w:r>
      <w:r>
        <w:rPr>
          <w:rFonts w:ascii="Times New Roman" w:eastAsia="Times New Roman" w:hAnsi="Times New Roman" w:cs="Times New Roman"/>
          <w:noProof/>
          <w:color w:val="343434"/>
          <w:lang w:eastAsia="x-none"/>
        </w:rPr>
        <w:t>ésent document (autorisation douanière n</w:t>
      </w:r>
      <w:r>
        <w:rPr>
          <w:rFonts w:ascii="Times New Roman" w:hAnsi="Times New Roman" w:cs="Times New Roman"/>
          <w:noProof/>
          <w:color w:val="343434"/>
          <w:position w:val="5"/>
          <w:lang w:eastAsia="x-none"/>
        </w:rPr>
        <w:t>o</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w:t>
      </w:r>
      <w:r>
        <w:rPr>
          <w:rFonts w:ascii="Times New Roman" w:eastAsia="Times New Roman" w:hAnsi="Times New Roman" w:cs="Times New Roman"/>
          <w:noProof/>
          <w:color w:val="343434"/>
          <w:lang w:eastAsia="x-none"/>
        </w:rPr>
        <w:t>éclare que, sauf indication claire du contraire, ces produits ont l'origine préférentielle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Italian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 xml:space="preserve">L'esportatore delle merci contemplate nel presente documento (autorizzazione doganale n.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dichiara che, salvo indicazione contraria, le merci sono di origine preferenziale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Latvian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Eksport</w:t>
      </w:r>
      <w:r>
        <w:rPr>
          <w:rFonts w:ascii="Times New Roman" w:eastAsia="Times New Roman" w:hAnsi="Times New Roman" w:cs="Times New Roman"/>
          <w:noProof/>
          <w:color w:val="343434"/>
          <w:lang w:eastAsia="x-none"/>
        </w:rPr>
        <w:t>ētājs produktiem, kuri ietverti šajā dokumentā</w:t>
      </w:r>
      <w:r>
        <w:rPr>
          <w:rFonts w:ascii="Times New Roman" w:hAnsi="Times New Roman" w:cs="Times New Roman"/>
          <w:noProof/>
          <w:color w:val="343434"/>
          <w:lang w:eastAsia="x-none"/>
        </w:rPr>
        <w:t xml:space="preserve"> (muitas pilnvara Nr.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deklar</w:t>
      </w:r>
      <w:r>
        <w:rPr>
          <w:rFonts w:ascii="Times New Roman" w:eastAsia="Times New Roman" w:hAnsi="Times New Roman" w:cs="Times New Roman"/>
          <w:noProof/>
          <w:color w:val="343434"/>
          <w:lang w:eastAsia="x-none"/>
        </w:rPr>
        <w:t>ē, ka, izņemot tur, kur ir citādi skaidri noteikts, šiem produktiem ir priekšrocību izcelsme no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Lithuanian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Šiame dokumente išvardintų prekių eksportuotojas (muitinės liudijimo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deklaruoja, kad, jeigu kitaip nenurodyta, tai yra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preferencin</w:t>
      </w:r>
      <w:r>
        <w:rPr>
          <w:rFonts w:ascii="Times New Roman" w:eastAsia="Times New Roman" w:hAnsi="Times New Roman" w:cs="Times New Roman"/>
          <w:noProof/>
          <w:color w:val="343434"/>
          <w:lang w:eastAsia="x-none"/>
        </w:rPr>
        <w:t>ės kilmės prekės.</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Hungarian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hAnsi="Times New Roman" w:cs="Times New Roman"/>
          <w:noProof/>
          <w:color w:val="343434"/>
          <w:lang w:eastAsia="x-none"/>
        </w:rPr>
        <w:t>A jelen okm</w:t>
      </w:r>
      <w:r>
        <w:rPr>
          <w:rFonts w:ascii="Times New Roman" w:eastAsia="Times New Roman" w:hAnsi="Times New Roman" w:cs="Times New Roman"/>
          <w:noProof/>
          <w:color w:val="343434"/>
          <w:lang w:eastAsia="x-none"/>
        </w:rPr>
        <w:t>ányban szereplő áruk exportőre (vámfelhatalmazási szám: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kijelentem, hogy elt</w:t>
      </w:r>
      <w:r>
        <w:rPr>
          <w:rFonts w:ascii="Times New Roman" w:eastAsia="Times New Roman" w:hAnsi="Times New Roman" w:cs="Times New Roman"/>
          <w:noProof/>
          <w:color w:val="343434"/>
          <w:lang w:eastAsia="x-none"/>
        </w:rPr>
        <w:t>érő egyértelmű jelzés hiányában az áruk kedvezményes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sz</w:t>
      </w:r>
      <w:r>
        <w:rPr>
          <w:rFonts w:ascii="Times New Roman" w:eastAsia="Times New Roman" w:hAnsi="Times New Roman" w:cs="Times New Roman"/>
          <w:noProof/>
          <w:color w:val="343434"/>
          <w:lang w:eastAsia="x-none"/>
        </w:rPr>
        <w:t>ármazásúak.</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lastRenderedPageBreak/>
        <w:t>Version of the former Yugoslav Republic of Macedonia</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Извозникот на производите што ги покрива овоj документ (царинскo одобрение бр.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изјавува дека, освен ако тоа не е јасно поинаку назначено, овие производи се со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преференцијално потекло.</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Maltese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 xml:space="preserve">L-esportatur tal-prodotti koperti b'dan id-dokument (awtorizzazzjoni tad-dwana nru.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jiddikjara li, ħlief fejn indikat b'mod </w:t>
      </w:r>
      <w:r>
        <w:rPr>
          <w:rFonts w:ascii="Times New Roman" w:eastAsia="Times New Roman" w:hAnsi="Times New Roman" w:cs="Times New Roman"/>
          <w:noProof/>
          <w:color w:val="343434"/>
          <w:lang w:eastAsia="x-none"/>
        </w:rPr>
        <w:t>ċar li mhux hekk, dawn il-prodotti huma ta' oriġini preferenzjali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Montenegrin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Извозник производа обухваћених овом исправом (царинско овлашћење бр.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изјављује да су, осим ако је тo другачије изричито наведено, ови производи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преференцијалног поријекла.</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Izvoznik proizvoda obuhva</w:t>
      </w:r>
      <w:r>
        <w:rPr>
          <w:rFonts w:ascii="Times New Roman" w:eastAsia="Times New Roman" w:hAnsi="Times New Roman" w:cs="Times New Roman"/>
          <w:noProof/>
          <w:color w:val="343434"/>
          <w:lang w:eastAsia="x-none"/>
        </w:rPr>
        <w:t>ćenih ovom ispravom (carinsko ovlašćenje br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izjavljuje da su, osim ako je to druga</w:t>
      </w:r>
      <w:r>
        <w:rPr>
          <w:rFonts w:ascii="Times New Roman" w:eastAsia="Times New Roman" w:hAnsi="Times New Roman" w:cs="Times New Roman"/>
          <w:noProof/>
          <w:color w:val="343434"/>
          <w:lang w:eastAsia="x-none"/>
        </w:rPr>
        <w:t>čije izričito navedeno, ovi proizvodi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preferencijalnog porijekla.</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Dutch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 xml:space="preserve">De exporteur van de goederen waarop dit document van toepassing is (douanevergunning nr.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verklaart dat, behoudens uitdrukkelijke andersluidende vermelding, deze goederen van preferenti</w:t>
      </w:r>
      <w:r>
        <w:rPr>
          <w:rFonts w:ascii="Times New Roman" w:eastAsia="Times New Roman" w:hAnsi="Times New Roman" w:cs="Times New Roman"/>
          <w:noProof/>
          <w:color w:val="343434"/>
          <w:lang w:eastAsia="x-none"/>
        </w:rPr>
        <w:t>ële … oorsprong zijn</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Polish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Eksporter produkt</w:t>
      </w:r>
      <w:r>
        <w:rPr>
          <w:rFonts w:ascii="Times New Roman" w:eastAsia="Times New Roman" w:hAnsi="Times New Roman" w:cs="Times New Roman"/>
          <w:noProof/>
          <w:color w:val="343434"/>
          <w:lang w:eastAsia="x-none"/>
        </w:rPr>
        <w:t>ów objętych tym dokumentem (upoważnienie władz celnych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deklaruje, </w:t>
      </w:r>
      <w:r>
        <w:rPr>
          <w:rFonts w:ascii="Times New Roman" w:eastAsia="Times New Roman" w:hAnsi="Times New Roman" w:cs="Times New Roman"/>
          <w:noProof/>
          <w:color w:val="343434"/>
          <w:lang w:eastAsia="x-none"/>
        </w:rPr>
        <w:t>że z wyjątkiem gdzie jest to wyraźnie określone, produkty te mają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preferencyjne pochodzenie.</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Portuguese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O abaixo assinado, exportador dos produtos cobertos pelo presente documento (autoriza</w:t>
      </w:r>
      <w:r>
        <w:rPr>
          <w:rFonts w:ascii="Times New Roman" w:eastAsia="Times New Roman" w:hAnsi="Times New Roman" w:cs="Times New Roman"/>
          <w:noProof/>
          <w:color w:val="343434"/>
          <w:lang w:eastAsia="x-none"/>
        </w:rPr>
        <w:t>ção aduaneira n</w:t>
      </w:r>
      <w:r>
        <w:rPr>
          <w:rFonts w:ascii="Times New Roman" w:hAnsi="Times New Roman" w:cs="Times New Roman"/>
          <w:noProof/>
          <w:color w:val="343434"/>
          <w:position w:val="5"/>
          <w:lang w:eastAsia="x-none"/>
        </w:rPr>
        <w:t>o</w:t>
      </w:r>
      <w:r>
        <w:rPr>
          <w:rFonts w:ascii="Times New Roman" w:hAnsi="Times New Roman" w:cs="Times New Roman"/>
          <w:noProof/>
          <w:color w:val="343434"/>
          <w:lang w:eastAsia="x-none"/>
        </w:rPr>
        <w:t xml:space="preserve">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declara que, salvo expressamente indicado em contr</w:t>
      </w:r>
      <w:r>
        <w:rPr>
          <w:rFonts w:ascii="Times New Roman" w:eastAsia="Times New Roman" w:hAnsi="Times New Roman" w:cs="Times New Roman"/>
          <w:noProof/>
          <w:color w:val="343434"/>
          <w:lang w:eastAsia="x-none"/>
        </w:rPr>
        <w:t>ário, estes produtos são de origem preferencial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Romanian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Exportatorul produselor ce fac obiectul acestui document (autoriza</w:t>
      </w:r>
      <w:r>
        <w:rPr>
          <w:rFonts w:ascii="Times New Roman" w:eastAsia="Times New Roman" w:hAnsi="Times New Roman" w:cs="Times New Roman"/>
          <w:noProof/>
          <w:color w:val="343434"/>
          <w:lang w:eastAsia="x-none"/>
        </w:rPr>
        <w:t>ț</w:t>
      </w:r>
      <w:r>
        <w:rPr>
          <w:rFonts w:ascii="Times New Roman" w:hAnsi="Times New Roman" w:cs="Times New Roman"/>
          <w:noProof/>
          <w:color w:val="343434"/>
          <w:lang w:eastAsia="x-none"/>
        </w:rPr>
        <w:t>ia vamal</w:t>
      </w:r>
      <w:r>
        <w:rPr>
          <w:rFonts w:ascii="Times New Roman" w:eastAsia="Times New Roman" w:hAnsi="Times New Roman" w:cs="Times New Roman"/>
          <w:noProof/>
          <w:color w:val="343434"/>
          <w:lang w:eastAsia="x-none"/>
        </w:rPr>
        <w:t>ă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declar</w:t>
      </w:r>
      <w:r>
        <w:rPr>
          <w:rFonts w:ascii="Times New Roman" w:eastAsia="Times New Roman" w:hAnsi="Times New Roman" w:cs="Times New Roman"/>
          <w:noProof/>
          <w:color w:val="343434"/>
          <w:lang w:eastAsia="x-none"/>
        </w:rPr>
        <w:t>ă că, exceptând cazul în care în mod expres este indicat altfel, aceste produse sunt de origine preferenț</w:t>
      </w:r>
      <w:r>
        <w:rPr>
          <w:rFonts w:ascii="Times New Roman" w:hAnsi="Times New Roman" w:cs="Times New Roman"/>
          <w:noProof/>
          <w:color w:val="343434"/>
          <w:lang w:eastAsia="x-none"/>
        </w:rPr>
        <w:t>ial</w:t>
      </w:r>
      <w:r>
        <w:rPr>
          <w:rFonts w:ascii="Times New Roman" w:eastAsia="Times New Roman" w:hAnsi="Times New Roman" w:cs="Times New Roman"/>
          <w:noProof/>
          <w:color w:val="343434"/>
          <w:lang w:eastAsia="x-none"/>
        </w:rPr>
        <w:t>ă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Serbian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Извозник производа обухваћених овом исправом (царинско овлашћење бр.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изјављује да су, осим ако је тo другачије изричито наведено, ови производи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преференцијалног порекла.</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Izvoznik proizvoda obuhva</w:t>
      </w:r>
      <w:r>
        <w:rPr>
          <w:rFonts w:ascii="Times New Roman" w:eastAsia="Times New Roman" w:hAnsi="Times New Roman" w:cs="Times New Roman"/>
          <w:noProof/>
          <w:color w:val="343434"/>
          <w:lang w:eastAsia="x-none"/>
        </w:rPr>
        <w:t>ćenih ovom ispravom (carinsko ovlašćenje br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izjavljuje da su, osim ako je to druga</w:t>
      </w:r>
      <w:r>
        <w:rPr>
          <w:rFonts w:ascii="Times New Roman" w:eastAsia="Times New Roman" w:hAnsi="Times New Roman" w:cs="Times New Roman"/>
          <w:noProof/>
          <w:color w:val="343434"/>
          <w:lang w:eastAsia="x-none"/>
        </w:rPr>
        <w:t>čije izričito navedeno, ovi proizvodi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preferencijalnog porekla.</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Slovenian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 xml:space="preserve">Izvoznik blaga, zajetega s tem dokumentom (pooblastilo carinskih organov </w:t>
      </w:r>
      <w:r>
        <w:rPr>
          <w:rFonts w:ascii="Times New Roman" w:eastAsia="Times New Roman" w:hAnsi="Times New Roman" w:cs="Times New Roman"/>
          <w:noProof/>
          <w:color w:val="343434"/>
          <w:lang w:eastAsia="x-none"/>
        </w:rPr>
        <w:t>št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izjavlja, da, razen </w:t>
      </w:r>
      <w:r>
        <w:rPr>
          <w:rFonts w:ascii="Times New Roman" w:eastAsia="Times New Roman" w:hAnsi="Times New Roman" w:cs="Times New Roman"/>
          <w:noProof/>
          <w:color w:val="343434"/>
          <w:lang w:eastAsia="x-none"/>
        </w:rPr>
        <w:t>če ni drugač</w:t>
      </w:r>
      <w:r>
        <w:rPr>
          <w:rFonts w:ascii="Times New Roman" w:hAnsi="Times New Roman" w:cs="Times New Roman"/>
          <w:noProof/>
          <w:color w:val="343434"/>
          <w:lang w:eastAsia="x-none"/>
        </w:rPr>
        <w:t xml:space="preserve">e jasno navedeno, ima to blago preferencialno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poreklo.</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Slovak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V</w:t>
      </w:r>
      <w:r>
        <w:rPr>
          <w:rFonts w:ascii="Times New Roman" w:eastAsia="Times New Roman" w:hAnsi="Times New Roman" w:cs="Times New Roman"/>
          <w:noProof/>
          <w:color w:val="343434"/>
          <w:lang w:eastAsia="x-none"/>
        </w:rPr>
        <w:t>ývozca výrobkov uvedených v tomto dokumente (číslo povolenia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vyhlasuje, </w:t>
      </w:r>
      <w:r>
        <w:rPr>
          <w:rFonts w:ascii="Times New Roman" w:eastAsia="Times New Roman" w:hAnsi="Times New Roman" w:cs="Times New Roman"/>
          <w:noProof/>
          <w:color w:val="343434"/>
          <w:lang w:eastAsia="x-none"/>
        </w:rPr>
        <w:t>že okrem zreteľne označených, majú tieto výrobky preferenčný pôvod v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Finnish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T</w:t>
      </w:r>
      <w:r>
        <w:rPr>
          <w:rFonts w:ascii="Times New Roman" w:eastAsia="Times New Roman" w:hAnsi="Times New Roman" w:cs="Times New Roman"/>
          <w:noProof/>
          <w:color w:val="343434"/>
          <w:lang w:eastAsia="x-none"/>
        </w:rPr>
        <w:t>ässä asiakirjassa mainittujen tuotteiden viejä (tullin lupa n:o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ilmoittaa, ett</w:t>
      </w:r>
      <w:r>
        <w:rPr>
          <w:rFonts w:ascii="Times New Roman" w:eastAsia="Times New Roman" w:hAnsi="Times New Roman" w:cs="Times New Roman"/>
          <w:noProof/>
          <w:color w:val="343434"/>
          <w:lang w:eastAsia="x-none"/>
        </w:rPr>
        <w:t>ä nämä tuotteet ovat, ellei toisin ole selvästi merkitty, etuuskohteluun oikeutettuja … alkuperätuotteita</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Swedish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Export</w:t>
      </w:r>
      <w:r>
        <w:rPr>
          <w:rFonts w:ascii="Times New Roman" w:eastAsia="Times New Roman" w:hAnsi="Times New Roman" w:cs="Times New Roman"/>
          <w:noProof/>
          <w:color w:val="343434"/>
          <w:lang w:eastAsia="x-none"/>
        </w:rPr>
        <w:t>ören av de varor som omfattas av detta dokument (tullmyndighetens tillstånd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f</w:t>
      </w:r>
      <w:r>
        <w:rPr>
          <w:rFonts w:ascii="Times New Roman" w:eastAsia="Times New Roman" w:hAnsi="Times New Roman" w:cs="Times New Roman"/>
          <w:noProof/>
          <w:color w:val="343434"/>
          <w:lang w:eastAsia="x-none"/>
        </w:rPr>
        <w:t xml:space="preserve">örsäkrar </w:t>
      </w:r>
      <w:r>
        <w:rPr>
          <w:rFonts w:ascii="Times New Roman" w:eastAsia="Times New Roman" w:hAnsi="Times New Roman" w:cs="Times New Roman"/>
          <w:noProof/>
          <w:color w:val="343434"/>
          <w:lang w:eastAsia="x-none"/>
        </w:rPr>
        <w:lastRenderedPageBreak/>
        <w:t>att dessa varor, om inte annat tydligt markerats, har förmånsberättigande … ursprung</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Arabic version</w:t>
      </w:r>
    </w:p>
    <w:p w:rsidR="00D74962" w:rsidRDefault="00527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val="en-US"/>
        </w:rPr>
        <w:drawing>
          <wp:inline distT="0" distB="0" distL="0" distR="0">
            <wp:extent cx="5353050" cy="752475"/>
            <wp:effectExtent l="0" t="0" r="0" b="9525"/>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53050" cy="752475"/>
                    </a:xfrm>
                    <a:prstGeom prst="rect">
                      <a:avLst/>
                    </a:prstGeom>
                    <a:noFill/>
                    <a:ln>
                      <a:noFill/>
                    </a:ln>
                  </pic:spPr>
                </pic:pic>
              </a:graphicData>
            </a:graphic>
          </wp:inline>
        </w:drawing>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Hebrew version</w:t>
      </w:r>
    </w:p>
    <w:p w:rsidR="00D74962" w:rsidRDefault="00527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val="en-US"/>
        </w:rPr>
        <w:drawing>
          <wp:inline distT="0" distB="0" distL="0" distR="0">
            <wp:extent cx="4819650" cy="295275"/>
            <wp:effectExtent l="0" t="0" r="0" b="952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19650" cy="295275"/>
                    </a:xfrm>
                    <a:prstGeom prst="rect">
                      <a:avLst/>
                    </a:prstGeom>
                    <a:noFill/>
                    <a:ln>
                      <a:noFill/>
                    </a:ln>
                  </pic:spPr>
                </pic:pic>
              </a:graphicData>
            </a:graphic>
          </wp:inline>
        </w:drawing>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Faeroese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Ùtflytarin av vørunum, sum hetta skjal fevnir um (tollvaldsins loyvi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v</w:t>
      </w:r>
      <w:r>
        <w:rPr>
          <w:rFonts w:ascii="Times New Roman" w:eastAsia="Times New Roman" w:hAnsi="Times New Roman" w:cs="Times New Roman"/>
          <w:noProof/>
          <w:color w:val="343434"/>
          <w:lang w:eastAsia="x-none"/>
        </w:rPr>
        <w:t>áttar, at um ikki nakað annað er tilskilað, eru hesar vørur upprunavørur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Icelandic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Útflytjandi framleiðsluvara sem skjal þetta tekur til (leyfi tollyfirvalda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l</w:t>
      </w:r>
      <w:r>
        <w:rPr>
          <w:rFonts w:ascii="Times New Roman" w:eastAsia="Times New Roman" w:hAnsi="Times New Roman" w:cs="Times New Roman"/>
          <w:noProof/>
          <w:color w:val="343434"/>
          <w:lang w:eastAsia="x-none"/>
        </w:rPr>
        <w:t>ýsir því yfir að vörurnar séu, ef annars er ekki greinilega getið, af … fríðindauppruna</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Norwegian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Eksport</w:t>
      </w:r>
      <w:r>
        <w:rPr>
          <w:rFonts w:ascii="Times New Roman" w:eastAsia="Times New Roman" w:hAnsi="Times New Roman" w:cs="Times New Roman"/>
          <w:noProof/>
          <w:color w:val="343434"/>
          <w:lang w:eastAsia="x-none"/>
        </w:rPr>
        <w:t>øren av produktene omfattet av dette dokument (tollmyndighetenes autorisasjons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erkl</w:t>
      </w:r>
      <w:r>
        <w:rPr>
          <w:rFonts w:ascii="Times New Roman" w:eastAsia="Times New Roman" w:hAnsi="Times New Roman" w:cs="Times New Roman"/>
          <w:noProof/>
          <w:color w:val="343434"/>
          <w:lang w:eastAsia="x-none"/>
        </w:rPr>
        <w:t>ærer at disse produktene, unntatt hvor annet er tydelig angitt, har … preferanseopprinnelse</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Turkish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İșbu belge (gümrük onay No: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kapsam</w:t>
      </w:r>
      <w:r>
        <w:rPr>
          <w:rFonts w:ascii="Times New Roman" w:eastAsia="Times New Roman" w:hAnsi="Times New Roman" w:cs="Times New Roman"/>
          <w:noProof/>
          <w:color w:val="343434"/>
          <w:lang w:eastAsia="x-none"/>
        </w:rPr>
        <w:t>ındaki maddelerin ihracatçısı aksi açıkça belirtilmedikçe, bu maddelerin …</w:t>
      </w:r>
      <w:r>
        <w:rPr>
          <w:rFonts w:ascii="Times New Roman" w:hAnsi="Times New Roman" w:cs="Times New Roman"/>
          <w:noProof/>
          <w:color w:val="343434"/>
          <w:lang w:eastAsia="x-none"/>
        </w:rPr>
        <w:t xml:space="preserve"> tercihli men</w:t>
      </w:r>
      <w:r>
        <w:rPr>
          <w:rFonts w:ascii="Times New Roman" w:eastAsia="Times New Roman" w:hAnsi="Times New Roman" w:cs="Times New Roman"/>
          <w:noProof/>
          <w:color w:val="343434"/>
          <w:lang w:eastAsia="x-none"/>
        </w:rPr>
        <w:t>șeli</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maddeler oldu</w:t>
      </w:r>
      <w:r>
        <w:rPr>
          <w:rFonts w:ascii="Times New Roman" w:eastAsia="Times New Roman" w:hAnsi="Times New Roman" w:cs="Times New Roman"/>
          <w:noProof/>
          <w:color w:val="343434"/>
          <w:lang w:eastAsia="x-none"/>
        </w:rPr>
        <w:t>ğunu beyan eder.</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(Place and date)</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4</w:t>
      </w:r>
      <w:r>
        <w:rPr>
          <w:rFonts w:ascii="Times New Roman" w:hAnsi="Times New Roman" w:cs="Times New Roman"/>
          <w:noProof/>
          <w:color w:val="274EC0"/>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(Signature of the exporter, in addition the name of the person signing the declaration has to be indicated in clear script)</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343434"/>
          <w:lang w:eastAsia="x-none"/>
        </w:rPr>
      </w:pPr>
      <w:r>
        <w:rPr>
          <w:rFonts w:ascii="Times New Roman" w:hAnsi="Times New Roman" w:cs="Times New Roman"/>
          <w:noProof/>
          <w:color w:val="274EC0"/>
          <w:lang w:eastAsia="x-none"/>
        </w:rPr>
        <w:t>(</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When the origin declaration is made out by an approved exporter, the authorisation number of the approved exporter must be entered in this space. When the origin declaration is not made out by an approved exporter, the words in brackets shall be omitted or the space left blank.</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343434"/>
          <w:lang w:eastAsia="x-none"/>
        </w:rPr>
      </w:pPr>
      <w:r>
        <w:rPr>
          <w:rFonts w:ascii="Times New Roman" w:hAnsi="Times New Roman" w:cs="Times New Roman"/>
          <w:noProof/>
          <w:color w:val="274EC0"/>
          <w:lang w:eastAsia="x-none"/>
        </w:rPr>
        <w:t>(</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Origin of products to be indicated. When the origin declaration relates in whole or in part, to products originating in Ceuta and Melilla, the exporter must clearly indicate them in the document on which the declaration is made out, by means of the symbol </w:t>
      </w:r>
      <w:r>
        <w:rPr>
          <w:rFonts w:ascii="Times New Roman" w:eastAsia="Times New Roman" w:hAnsi="Times New Roman" w:cs="Times New Roman"/>
          <w:noProof/>
          <w:color w:val="343434"/>
          <w:lang w:eastAsia="x-none"/>
        </w:rPr>
        <w:t>‘CM’.</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343434"/>
          <w:lang w:eastAsia="x-none"/>
        </w:rPr>
      </w:pPr>
      <w:r>
        <w:rPr>
          <w:rFonts w:ascii="Times New Roman" w:hAnsi="Times New Roman" w:cs="Times New Roman"/>
          <w:noProof/>
          <w:color w:val="274EC0"/>
          <w:lang w:eastAsia="x-none"/>
        </w:rPr>
        <w:t>(</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These indications may be omitted if the information is contained on the document itself.</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343434"/>
          <w:lang w:eastAsia="x-none"/>
        </w:rPr>
      </w:pPr>
      <w:r>
        <w:rPr>
          <w:rFonts w:ascii="Times New Roman" w:hAnsi="Times New Roman" w:cs="Times New Roman"/>
          <w:noProof/>
          <w:color w:val="274EC0"/>
          <w:lang w:eastAsia="x-none"/>
        </w:rPr>
        <w:t>(</w:t>
      </w:r>
      <w:r>
        <w:rPr>
          <w:rFonts w:ascii="Times New Roman" w:hAnsi="Times New Roman" w:cs="Times New Roman"/>
          <w:noProof/>
          <w:color w:val="274EC0"/>
          <w:position w:val="5"/>
          <w:lang w:eastAsia="x-none"/>
        </w:rPr>
        <w:t>4</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In cases where the exporter is not required to sign, the exemption of signature also implies the exemption of the name of the signatory.</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ANNEX IVb</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Text of the origin declaration EUR-MED</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The origin declaration EUR-MED, the text of which is given below, must be made out in accordance with the footnotes. However, the footnotes do not have to be reproduced.</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Albanian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Eksportuesi i produkteve t</w:t>
      </w:r>
      <w:r>
        <w:rPr>
          <w:rFonts w:ascii="Times New Roman" w:eastAsia="Times New Roman" w:hAnsi="Times New Roman" w:cs="Times New Roman"/>
          <w:noProof/>
          <w:color w:val="343434"/>
          <w:lang w:eastAsia="x-none"/>
        </w:rPr>
        <w:t>ë mbuluara nga ky dokument (autorizim doganor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deklaron q</w:t>
      </w:r>
      <w:r>
        <w:rPr>
          <w:rFonts w:ascii="Times New Roman" w:eastAsia="Times New Roman" w:hAnsi="Times New Roman" w:cs="Times New Roman"/>
          <w:noProof/>
          <w:color w:val="343434"/>
          <w:lang w:eastAsia="x-none"/>
        </w:rPr>
        <w:t>ë përveç rasteve kur tregohet qartësisht ndryshe, këto produkte janë me origjine preferenciale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lastRenderedPageBreak/>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Bosnian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Izvoznik proizvoda obuhva</w:t>
      </w:r>
      <w:r>
        <w:rPr>
          <w:rFonts w:ascii="Times New Roman" w:eastAsia="Times New Roman" w:hAnsi="Times New Roman" w:cs="Times New Roman"/>
          <w:noProof/>
          <w:color w:val="343434"/>
          <w:lang w:eastAsia="x-none"/>
        </w:rPr>
        <w:t>ćenih ovom ispravom (carinsko ovlaštenje br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izjavljuje da su, osim ako je to druga</w:t>
      </w:r>
      <w:r>
        <w:rPr>
          <w:rFonts w:ascii="Times New Roman" w:eastAsia="Times New Roman" w:hAnsi="Times New Roman" w:cs="Times New Roman"/>
          <w:noProof/>
          <w:color w:val="343434"/>
          <w:lang w:eastAsia="x-none"/>
        </w:rPr>
        <w:t>čije izričito navedeno, ovi proizvodi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preferencijalnog porijekla.</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Bulgarian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Износителят на продуктите, обхванати от този документ (митническо разрешение №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декларира, че освен където ясно е отбелязано друго, тези продукти са с … преференциален произход</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Spanish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El exportador de los productos incluidos en el presente documento (autorizaci</w:t>
      </w:r>
      <w:r>
        <w:rPr>
          <w:rFonts w:ascii="Times New Roman" w:eastAsia="Times New Roman" w:hAnsi="Times New Roman" w:cs="Times New Roman"/>
          <w:noProof/>
          <w:color w:val="343434"/>
          <w:lang w:eastAsia="x-none"/>
        </w:rPr>
        <w:t>ón aduanera n</w:t>
      </w:r>
      <w:r>
        <w:rPr>
          <w:rFonts w:ascii="Times New Roman" w:hAnsi="Times New Roman" w:cs="Times New Roman"/>
          <w:noProof/>
          <w:color w:val="343434"/>
          <w:position w:val="5"/>
          <w:lang w:eastAsia="x-none"/>
        </w:rPr>
        <w:t>o</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declara que, salvo indicaci</w:t>
      </w:r>
      <w:r>
        <w:rPr>
          <w:rFonts w:ascii="Times New Roman" w:eastAsia="Times New Roman" w:hAnsi="Times New Roman" w:cs="Times New Roman"/>
          <w:noProof/>
          <w:color w:val="343434"/>
          <w:lang w:eastAsia="x-none"/>
        </w:rPr>
        <w:t>ón en sentido contrario, estos productos gozan de un origen preferencial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Croatian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Izvoznik proizvoda obuhva</w:t>
      </w:r>
      <w:r>
        <w:rPr>
          <w:rFonts w:ascii="Times New Roman" w:eastAsia="Times New Roman" w:hAnsi="Times New Roman" w:cs="Times New Roman"/>
          <w:noProof/>
          <w:color w:val="343434"/>
          <w:lang w:eastAsia="x-none"/>
        </w:rPr>
        <w:t>ćenih ovom ispravom (carinsko ovlaštenje br.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izjavljuje da su, osim ako je to druga</w:t>
      </w:r>
      <w:r>
        <w:rPr>
          <w:rFonts w:ascii="Times New Roman" w:eastAsia="Times New Roman" w:hAnsi="Times New Roman" w:cs="Times New Roman"/>
          <w:noProof/>
          <w:color w:val="343434"/>
          <w:lang w:eastAsia="x-none"/>
        </w:rPr>
        <w:t>čije izričito navedeno, ovi proizvodi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preferencijalnog podrijetla.</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Czech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V</w:t>
      </w:r>
      <w:r>
        <w:rPr>
          <w:rFonts w:ascii="Times New Roman" w:eastAsia="Times New Roman" w:hAnsi="Times New Roman" w:cs="Times New Roman"/>
          <w:noProof/>
          <w:color w:val="343434"/>
          <w:lang w:eastAsia="x-none"/>
        </w:rPr>
        <w:t>ývozce výrobků uvedených v tomto dokumentu (číslo povolení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prohla</w:t>
      </w:r>
      <w:r>
        <w:rPr>
          <w:rFonts w:ascii="Times New Roman" w:eastAsia="Times New Roman" w:hAnsi="Times New Roman" w:cs="Times New Roman"/>
          <w:noProof/>
          <w:color w:val="343434"/>
          <w:lang w:eastAsia="x-none"/>
        </w:rPr>
        <w:t>šuje, že kromě zřetelně označených mají tyto výrobky preferenční původ v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Danish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Eksport</w:t>
      </w:r>
      <w:r>
        <w:rPr>
          <w:rFonts w:ascii="Times New Roman" w:eastAsia="Times New Roman" w:hAnsi="Times New Roman" w:cs="Times New Roman"/>
          <w:noProof/>
          <w:color w:val="343434"/>
          <w:lang w:eastAsia="x-none"/>
        </w:rPr>
        <w:t>øren af varer, der er omfattet af nærværende dokument, (toldmyndighedernes tilladelse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erkl</w:t>
      </w:r>
      <w:r>
        <w:rPr>
          <w:rFonts w:ascii="Times New Roman" w:eastAsia="Times New Roman" w:hAnsi="Times New Roman" w:cs="Times New Roman"/>
          <w:noProof/>
          <w:color w:val="343434"/>
          <w:lang w:eastAsia="x-none"/>
        </w:rPr>
        <w:t>ærer, at varerne, medmindre andet tydeligt er angivet, har præferenceoprindelse i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German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Der Ausf</w:t>
      </w:r>
      <w:r>
        <w:rPr>
          <w:rFonts w:ascii="Times New Roman" w:eastAsia="Times New Roman" w:hAnsi="Times New Roman" w:cs="Times New Roman"/>
          <w:noProof/>
          <w:color w:val="343434"/>
          <w:lang w:eastAsia="x-none"/>
        </w:rPr>
        <w:t>ührer (Ermächtigter Ausführer; Bewilligungs-Nr.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der Waren, auf die sich dieses Handelspapier bezieht, erkl</w:t>
      </w:r>
      <w:r>
        <w:rPr>
          <w:rFonts w:ascii="Times New Roman" w:eastAsia="Times New Roman" w:hAnsi="Times New Roman" w:cs="Times New Roman"/>
          <w:noProof/>
          <w:color w:val="343434"/>
          <w:lang w:eastAsia="x-none"/>
        </w:rPr>
        <w:t>ärt, dass diese Waren, soweit nicht anderes angegeben, präferenzbegünstigte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Ursprungswaren sind.</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Estonian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hAnsi="Times New Roman" w:cs="Times New Roman"/>
          <w:noProof/>
          <w:color w:val="343434"/>
          <w:lang w:eastAsia="x-none"/>
        </w:rPr>
        <w:t>K</w:t>
      </w:r>
      <w:r>
        <w:rPr>
          <w:rFonts w:ascii="Times New Roman" w:eastAsia="Times New Roman" w:hAnsi="Times New Roman" w:cs="Times New Roman"/>
          <w:noProof/>
          <w:color w:val="343434"/>
          <w:lang w:eastAsia="x-none"/>
        </w:rPr>
        <w:t>äesoleva dokumendiga hõlmatud toodete eksportija (tolliameti kinnitus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deklareerib, et need tooted on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soodusp</w:t>
      </w:r>
      <w:r>
        <w:rPr>
          <w:rFonts w:ascii="Times New Roman" w:eastAsia="Times New Roman" w:hAnsi="Times New Roman" w:cs="Times New Roman"/>
          <w:noProof/>
          <w:color w:val="343434"/>
          <w:lang w:eastAsia="x-none"/>
        </w:rPr>
        <w:t>äritoluga, välja arvatud juhul kui on selgelt näidatud teisiti.</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lastRenderedPageBreak/>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Greek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Ο εξαγωγέας των προϊόντων που καλύπτονται από το παρόν έγγραφο (άδεια τελωνείου υπ'αριθ.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δηλώνει ότι, εκτός εάν δηλώνεται σαφώς άλλως, τα προϊόντα αυτά είναι προτιμησιακής καταγωγής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English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 xml:space="preserve">The exporter of the products covered by this document (customs authorization No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declares that, except where otherwise clearly indicated, these products are of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preferential origin.</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French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L'exportateur des produits couverts par le pr</w:t>
      </w:r>
      <w:r>
        <w:rPr>
          <w:rFonts w:ascii="Times New Roman" w:eastAsia="Times New Roman" w:hAnsi="Times New Roman" w:cs="Times New Roman"/>
          <w:noProof/>
          <w:color w:val="343434"/>
          <w:lang w:eastAsia="x-none"/>
        </w:rPr>
        <w:t>ésent document (autorisation douanière n</w:t>
      </w:r>
      <w:r>
        <w:rPr>
          <w:rFonts w:ascii="Times New Roman" w:hAnsi="Times New Roman" w:cs="Times New Roman"/>
          <w:noProof/>
          <w:color w:val="343434"/>
          <w:position w:val="5"/>
          <w:lang w:eastAsia="x-none"/>
        </w:rPr>
        <w:t>o</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w:t>
      </w:r>
      <w:r>
        <w:rPr>
          <w:rFonts w:ascii="Times New Roman" w:eastAsia="Times New Roman" w:hAnsi="Times New Roman" w:cs="Times New Roman"/>
          <w:noProof/>
          <w:color w:val="343434"/>
          <w:lang w:eastAsia="x-none"/>
        </w:rPr>
        <w:t>éclare que, sauf indication claire du contraire, ces produits ont l'origine préférentielle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Italian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 xml:space="preserve">L'esportatore delle merci contemplate nel presente documento (autorizzazione doganale n.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dichiara che, salvo indicazione contraria, le merci sono di origine preferenziale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Latvian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Eksport</w:t>
      </w:r>
      <w:r>
        <w:rPr>
          <w:rFonts w:ascii="Times New Roman" w:eastAsia="Times New Roman" w:hAnsi="Times New Roman" w:cs="Times New Roman"/>
          <w:noProof/>
          <w:color w:val="343434"/>
          <w:lang w:eastAsia="x-none"/>
        </w:rPr>
        <w:t>ētājs produktiem, kuri ietverti šajā dokumentā</w:t>
      </w:r>
      <w:r>
        <w:rPr>
          <w:rFonts w:ascii="Times New Roman" w:hAnsi="Times New Roman" w:cs="Times New Roman"/>
          <w:noProof/>
          <w:color w:val="343434"/>
          <w:lang w:eastAsia="x-none"/>
        </w:rPr>
        <w:t xml:space="preserve"> (muitas pilnvara Nr.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deklar</w:t>
      </w:r>
      <w:r>
        <w:rPr>
          <w:rFonts w:ascii="Times New Roman" w:eastAsia="Times New Roman" w:hAnsi="Times New Roman" w:cs="Times New Roman"/>
          <w:noProof/>
          <w:color w:val="343434"/>
          <w:lang w:eastAsia="x-none"/>
        </w:rPr>
        <w:t>ē, ka, izņemot tur, kur ir citādi skaidri noteikts, šiem produktiem ir priekšrocību izcelsme no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Lithuanian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Š</w:t>
      </w:r>
      <w:r>
        <w:rPr>
          <w:rFonts w:ascii="Times New Roman" w:hAnsi="Times New Roman" w:cs="Times New Roman"/>
          <w:noProof/>
          <w:color w:val="343434"/>
          <w:lang w:eastAsia="x-none"/>
        </w:rPr>
        <w:t>iame dokumente i</w:t>
      </w:r>
      <w:r>
        <w:rPr>
          <w:rFonts w:ascii="Times New Roman" w:eastAsia="Times New Roman" w:hAnsi="Times New Roman" w:cs="Times New Roman"/>
          <w:noProof/>
          <w:color w:val="343434"/>
          <w:lang w:eastAsia="x-none"/>
        </w:rPr>
        <w:t>švardintų prekių eksportuotojas (muitinės liudijimo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deklaruoja, kad, jeigu kitaip nenurodyta, tai yra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preferencin</w:t>
      </w:r>
      <w:r>
        <w:rPr>
          <w:rFonts w:ascii="Times New Roman" w:eastAsia="Times New Roman" w:hAnsi="Times New Roman" w:cs="Times New Roman"/>
          <w:noProof/>
          <w:color w:val="343434"/>
          <w:lang w:eastAsia="x-none"/>
        </w:rPr>
        <w:t>ės kilmės prekės.</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Hungarian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hAnsi="Times New Roman" w:cs="Times New Roman"/>
          <w:noProof/>
          <w:color w:val="343434"/>
          <w:lang w:eastAsia="x-none"/>
        </w:rPr>
        <w:t>A jelen okm</w:t>
      </w:r>
      <w:r>
        <w:rPr>
          <w:rFonts w:ascii="Times New Roman" w:eastAsia="Times New Roman" w:hAnsi="Times New Roman" w:cs="Times New Roman"/>
          <w:noProof/>
          <w:color w:val="343434"/>
          <w:lang w:eastAsia="x-none"/>
        </w:rPr>
        <w:t>ányban szereplő áruk exportőre (vámfelhatalmazási szám: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kijelentem, hogy elt</w:t>
      </w:r>
      <w:r>
        <w:rPr>
          <w:rFonts w:ascii="Times New Roman" w:eastAsia="Times New Roman" w:hAnsi="Times New Roman" w:cs="Times New Roman"/>
          <w:noProof/>
          <w:color w:val="343434"/>
          <w:lang w:eastAsia="x-none"/>
        </w:rPr>
        <w:t>érő egyértelmű jelzés hiányában az áruk kedvezményes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sz</w:t>
      </w:r>
      <w:r>
        <w:rPr>
          <w:rFonts w:ascii="Times New Roman" w:eastAsia="Times New Roman" w:hAnsi="Times New Roman" w:cs="Times New Roman"/>
          <w:noProof/>
          <w:color w:val="343434"/>
          <w:lang w:eastAsia="x-none"/>
        </w:rPr>
        <w:t>ármazásúak.</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Version of the former Yugoslav Republic of Macedonia</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Извозникот на производите што ги покрива овоj документ (царинскo одобрение бр.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изјавува дека, освен ако тоа не е јасно поинаку назначено, овие производи се со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преференцијално потекло.</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lastRenderedPageBreak/>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Maltese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 xml:space="preserve">L-esportatur tal-prodotti koperti b'dan id-dokument (awtorizzazzjoni tad-dwana nru.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jiddikjara li, ħlief fejn indikat b'mod </w:t>
      </w:r>
      <w:r>
        <w:rPr>
          <w:rFonts w:ascii="Times New Roman" w:eastAsia="Times New Roman" w:hAnsi="Times New Roman" w:cs="Times New Roman"/>
          <w:noProof/>
          <w:color w:val="343434"/>
          <w:lang w:eastAsia="x-none"/>
        </w:rPr>
        <w:t>ċar li mhux hekk, dawn il-prodotti huma ta' oriġini preferenzjali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Montenegrin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Извозник производа обухваћених овом исправом (царинско овлашћење бр.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изјављује да су, осим ако је тo другачије изричито наведено, ови производи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преференцијалног поријекла.</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Izvoznik proizvoda obuhva</w:t>
      </w:r>
      <w:r>
        <w:rPr>
          <w:rFonts w:ascii="Times New Roman" w:eastAsia="Times New Roman" w:hAnsi="Times New Roman" w:cs="Times New Roman"/>
          <w:noProof/>
          <w:color w:val="343434"/>
          <w:lang w:eastAsia="x-none"/>
        </w:rPr>
        <w:t>ćenih ovom ispravom (carinsko ovlašćenje br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izjavljuje da su, osim ako je to druga</w:t>
      </w:r>
      <w:r>
        <w:rPr>
          <w:rFonts w:ascii="Times New Roman" w:eastAsia="Times New Roman" w:hAnsi="Times New Roman" w:cs="Times New Roman"/>
          <w:noProof/>
          <w:color w:val="343434"/>
          <w:lang w:eastAsia="x-none"/>
        </w:rPr>
        <w:t>čije izričito navedeno, ovi proizvodi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preferencijalnog porijekla.</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Dutch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 xml:space="preserve">De exporteur van de goederen waarop dit document van toepassing is (douanevergunning nr.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verklaart dat, behoudens uitdrukkelijke andersluidende vermelding, deze goederen van preferenti</w:t>
      </w:r>
      <w:r>
        <w:rPr>
          <w:rFonts w:ascii="Times New Roman" w:eastAsia="Times New Roman" w:hAnsi="Times New Roman" w:cs="Times New Roman"/>
          <w:noProof/>
          <w:color w:val="343434"/>
          <w:lang w:eastAsia="x-none"/>
        </w:rPr>
        <w:t>ële … oorsprong zijn</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Polish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Eksporter produkt</w:t>
      </w:r>
      <w:r>
        <w:rPr>
          <w:rFonts w:ascii="Times New Roman" w:eastAsia="Times New Roman" w:hAnsi="Times New Roman" w:cs="Times New Roman"/>
          <w:noProof/>
          <w:color w:val="343434"/>
          <w:lang w:eastAsia="x-none"/>
        </w:rPr>
        <w:t>ów objętych tym dokumentem (upoważnienie władz celnych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deklaruje, </w:t>
      </w:r>
      <w:r>
        <w:rPr>
          <w:rFonts w:ascii="Times New Roman" w:eastAsia="Times New Roman" w:hAnsi="Times New Roman" w:cs="Times New Roman"/>
          <w:noProof/>
          <w:color w:val="343434"/>
          <w:lang w:eastAsia="x-none"/>
        </w:rPr>
        <w:t>że z wyjątkiem gdzie jest to wyraźnie określone, produkty te mają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preferencyjne pochodzenie.</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Portuguese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O abaixo assinado, exportador dos produtos cobertos pelo presente documento (autoriza</w:t>
      </w:r>
      <w:r>
        <w:rPr>
          <w:rFonts w:ascii="Times New Roman" w:eastAsia="Times New Roman" w:hAnsi="Times New Roman" w:cs="Times New Roman"/>
          <w:noProof/>
          <w:color w:val="343434"/>
          <w:lang w:eastAsia="x-none"/>
        </w:rPr>
        <w:t>ção aduaneira n</w:t>
      </w:r>
      <w:r>
        <w:rPr>
          <w:rFonts w:ascii="Times New Roman" w:hAnsi="Times New Roman" w:cs="Times New Roman"/>
          <w:noProof/>
          <w:color w:val="343434"/>
          <w:position w:val="5"/>
          <w:lang w:eastAsia="x-none"/>
        </w:rPr>
        <w:t>o</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declara que, salvo expressamente indicado em contr</w:t>
      </w:r>
      <w:r>
        <w:rPr>
          <w:rFonts w:ascii="Times New Roman" w:eastAsia="Times New Roman" w:hAnsi="Times New Roman" w:cs="Times New Roman"/>
          <w:noProof/>
          <w:color w:val="343434"/>
          <w:lang w:eastAsia="x-none"/>
        </w:rPr>
        <w:t>ário, estes produtos são de origem preferencial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Romanian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Exportatorul produselor ce fac obiectul acestui document (autoriza</w:t>
      </w:r>
      <w:r>
        <w:rPr>
          <w:rFonts w:ascii="Times New Roman" w:eastAsia="Times New Roman" w:hAnsi="Times New Roman" w:cs="Times New Roman"/>
          <w:noProof/>
          <w:color w:val="343434"/>
          <w:lang w:eastAsia="x-none"/>
        </w:rPr>
        <w:t>ț</w:t>
      </w:r>
      <w:r>
        <w:rPr>
          <w:rFonts w:ascii="Times New Roman" w:hAnsi="Times New Roman" w:cs="Times New Roman"/>
          <w:noProof/>
          <w:color w:val="343434"/>
          <w:lang w:eastAsia="x-none"/>
        </w:rPr>
        <w:t>ia vamal</w:t>
      </w:r>
      <w:r>
        <w:rPr>
          <w:rFonts w:ascii="Times New Roman" w:eastAsia="Times New Roman" w:hAnsi="Times New Roman" w:cs="Times New Roman"/>
          <w:noProof/>
          <w:color w:val="343434"/>
          <w:lang w:eastAsia="x-none"/>
        </w:rPr>
        <w:t>ă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declar</w:t>
      </w:r>
      <w:r>
        <w:rPr>
          <w:rFonts w:ascii="Times New Roman" w:eastAsia="Times New Roman" w:hAnsi="Times New Roman" w:cs="Times New Roman"/>
          <w:noProof/>
          <w:color w:val="343434"/>
          <w:lang w:eastAsia="x-none"/>
        </w:rPr>
        <w:t>ă că, exceptând cazul în care î</w:t>
      </w:r>
      <w:r>
        <w:rPr>
          <w:rFonts w:ascii="Times New Roman" w:hAnsi="Times New Roman" w:cs="Times New Roman"/>
          <w:noProof/>
          <w:color w:val="343434"/>
          <w:lang w:eastAsia="x-none"/>
        </w:rPr>
        <w:t>n mod expres este indicat altfel, aceste produse sunt de origine preferen</w:t>
      </w:r>
      <w:r>
        <w:rPr>
          <w:rFonts w:ascii="Times New Roman" w:eastAsia="Times New Roman" w:hAnsi="Times New Roman" w:cs="Times New Roman"/>
          <w:noProof/>
          <w:color w:val="343434"/>
          <w:lang w:eastAsia="x-none"/>
        </w:rPr>
        <w:t>ț</w:t>
      </w:r>
      <w:r>
        <w:rPr>
          <w:rFonts w:ascii="Times New Roman" w:hAnsi="Times New Roman" w:cs="Times New Roman"/>
          <w:noProof/>
          <w:color w:val="343434"/>
          <w:lang w:eastAsia="x-none"/>
        </w:rPr>
        <w:t>ial</w:t>
      </w:r>
      <w:r>
        <w:rPr>
          <w:rFonts w:ascii="Times New Roman" w:eastAsia="Times New Roman" w:hAnsi="Times New Roman" w:cs="Times New Roman"/>
          <w:noProof/>
          <w:color w:val="343434"/>
          <w:lang w:eastAsia="x-none"/>
        </w:rPr>
        <w:t>ă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Serbian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Извозник производа обухваћених овом исправом (царинско овлашћење бр.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изјављује да су, осим ако је тo другачије изричито наведено, ови производи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w:t>
      </w:r>
      <w:r>
        <w:rPr>
          <w:rFonts w:ascii="Times New Roman" w:eastAsia="Times New Roman" w:hAnsi="Times New Roman" w:cs="Times New Roman"/>
          <w:noProof/>
          <w:color w:val="343434"/>
          <w:lang w:eastAsia="x-none"/>
        </w:rPr>
        <w:t>преференцијалног порекла.</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Izvoznik proizvoda obuhva</w:t>
      </w:r>
      <w:r>
        <w:rPr>
          <w:rFonts w:ascii="Times New Roman" w:eastAsia="Times New Roman" w:hAnsi="Times New Roman" w:cs="Times New Roman"/>
          <w:noProof/>
          <w:color w:val="343434"/>
          <w:lang w:eastAsia="x-none"/>
        </w:rPr>
        <w:t>ćenih ovom ispravom (carinsko ovlašćenje br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izjavljuje da su, osim ako je to druga</w:t>
      </w:r>
      <w:r>
        <w:rPr>
          <w:rFonts w:ascii="Times New Roman" w:eastAsia="Times New Roman" w:hAnsi="Times New Roman" w:cs="Times New Roman"/>
          <w:noProof/>
          <w:color w:val="343434"/>
          <w:lang w:eastAsia="x-none"/>
        </w:rPr>
        <w:t>čije izričito navedeno,</w:t>
      </w:r>
      <w:r>
        <w:rPr>
          <w:rFonts w:ascii="Times New Roman" w:hAnsi="Times New Roman" w:cs="Times New Roman"/>
          <w:noProof/>
          <w:color w:val="343434"/>
          <w:lang w:eastAsia="x-none"/>
        </w:rPr>
        <w:t xml:space="preserve"> ovi proizvodi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preferencijalnog porekla.</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lastRenderedPageBreak/>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Slovenian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 xml:space="preserve">Izvoznik blaga, zajetega s tem dokumentom (pooblastilo carinskih organov </w:t>
      </w:r>
      <w:r>
        <w:rPr>
          <w:rFonts w:ascii="Times New Roman" w:eastAsia="Times New Roman" w:hAnsi="Times New Roman" w:cs="Times New Roman"/>
          <w:noProof/>
          <w:color w:val="343434"/>
          <w:lang w:eastAsia="x-none"/>
        </w:rPr>
        <w:t>št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izjavlja, da, razen </w:t>
      </w:r>
      <w:r>
        <w:rPr>
          <w:rFonts w:ascii="Times New Roman" w:eastAsia="Times New Roman" w:hAnsi="Times New Roman" w:cs="Times New Roman"/>
          <w:noProof/>
          <w:color w:val="343434"/>
          <w:lang w:eastAsia="x-none"/>
        </w:rPr>
        <w:t>če ni drugače jasno navedeno, ima to blago preferencialno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poreklo.</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Slovak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V</w:t>
      </w:r>
      <w:r>
        <w:rPr>
          <w:rFonts w:ascii="Times New Roman" w:eastAsia="Times New Roman" w:hAnsi="Times New Roman" w:cs="Times New Roman"/>
          <w:noProof/>
          <w:color w:val="343434"/>
          <w:lang w:eastAsia="x-none"/>
        </w:rPr>
        <w:t>ývozca výrobkov uvedených v tomto dokumente (číslo povo</w:t>
      </w:r>
      <w:r>
        <w:rPr>
          <w:rFonts w:ascii="Times New Roman" w:hAnsi="Times New Roman" w:cs="Times New Roman"/>
          <w:noProof/>
          <w:color w:val="343434"/>
          <w:lang w:eastAsia="x-none"/>
        </w:rPr>
        <w:t xml:space="preserve">lenia </w:t>
      </w: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vyhlasuje, </w:t>
      </w:r>
      <w:r>
        <w:rPr>
          <w:rFonts w:ascii="Times New Roman" w:eastAsia="Times New Roman" w:hAnsi="Times New Roman" w:cs="Times New Roman"/>
          <w:noProof/>
          <w:color w:val="343434"/>
          <w:lang w:eastAsia="x-none"/>
        </w:rPr>
        <w:t>že okrem zreteľne označených, majú tieto výrobky preferenčný pôvod v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Finnish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T</w:t>
      </w:r>
      <w:r>
        <w:rPr>
          <w:rFonts w:ascii="Times New Roman" w:eastAsia="Times New Roman" w:hAnsi="Times New Roman" w:cs="Times New Roman"/>
          <w:noProof/>
          <w:color w:val="343434"/>
          <w:lang w:eastAsia="x-none"/>
        </w:rPr>
        <w:t>ässä asiakirjassa mainittujen tuotteiden viejä (tullin lupa n:o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ilmoittaa, ett</w:t>
      </w:r>
      <w:r>
        <w:rPr>
          <w:rFonts w:ascii="Times New Roman" w:eastAsia="Times New Roman" w:hAnsi="Times New Roman" w:cs="Times New Roman"/>
          <w:noProof/>
          <w:color w:val="343434"/>
          <w:lang w:eastAsia="x-none"/>
        </w:rPr>
        <w:t>ä nämä tuotteet ovat, ellei toisin ole selvästi merkitty, etuuskohteluun oikeutettuja … alkuperätuotteita</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Swedish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Export</w:t>
      </w:r>
      <w:r>
        <w:rPr>
          <w:rFonts w:ascii="Times New Roman" w:eastAsia="Times New Roman" w:hAnsi="Times New Roman" w:cs="Times New Roman"/>
          <w:noProof/>
          <w:color w:val="343434"/>
          <w:lang w:eastAsia="x-none"/>
        </w:rPr>
        <w:t>ören av de varor som omfattas av detta dokument (tullmyndighetens tillstånd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f</w:t>
      </w:r>
      <w:r>
        <w:rPr>
          <w:rFonts w:ascii="Times New Roman" w:eastAsia="Times New Roman" w:hAnsi="Times New Roman" w:cs="Times New Roman"/>
          <w:noProof/>
          <w:color w:val="343434"/>
          <w:lang w:eastAsia="x-none"/>
        </w:rPr>
        <w:t>örsäkrar att dessa varor, om inte annat tydligt markerats, har förmånsberättigande … ursprung</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Arabic version</w:t>
      </w:r>
    </w:p>
    <w:p w:rsidR="00D74962" w:rsidRDefault="00527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val="en-US"/>
        </w:rPr>
        <w:drawing>
          <wp:inline distT="0" distB="0" distL="0" distR="0">
            <wp:extent cx="5353050" cy="752475"/>
            <wp:effectExtent l="0" t="0" r="0" b="952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53050" cy="752475"/>
                    </a:xfrm>
                    <a:prstGeom prst="rect">
                      <a:avLst/>
                    </a:prstGeom>
                    <a:noFill/>
                    <a:ln>
                      <a:noFill/>
                    </a:ln>
                  </pic:spPr>
                </pic:pic>
              </a:graphicData>
            </a:graphic>
          </wp:inline>
        </w:drawing>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Hebrew version</w:t>
      </w:r>
    </w:p>
    <w:p w:rsidR="00D74962" w:rsidRDefault="00527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val="en-US"/>
        </w:rPr>
        <w:drawing>
          <wp:inline distT="0" distB="0" distL="0" distR="0">
            <wp:extent cx="4819650" cy="352425"/>
            <wp:effectExtent l="0" t="0" r="0"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19650" cy="352425"/>
                    </a:xfrm>
                    <a:prstGeom prst="rect">
                      <a:avLst/>
                    </a:prstGeom>
                    <a:noFill/>
                    <a:ln>
                      <a:noFill/>
                    </a:ln>
                  </pic:spPr>
                </pic:pic>
              </a:graphicData>
            </a:graphic>
          </wp:inline>
        </w:drawing>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Faeroese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Ùtflytarin av vørunum, sum hetta skjal fevnir um (tollvaldsins loyvi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v</w:t>
      </w:r>
      <w:r>
        <w:rPr>
          <w:rFonts w:ascii="Times New Roman" w:eastAsia="Times New Roman" w:hAnsi="Times New Roman" w:cs="Times New Roman"/>
          <w:noProof/>
          <w:color w:val="343434"/>
          <w:lang w:eastAsia="x-none"/>
        </w:rPr>
        <w:t>áttar, at um ikki nakað annað er tilskilað, eru hesar vørur upprunavørur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Icelandic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Útflytjandi framleiðsluvara sem skjal þetta tekur til (leyfi tollyfirvalda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l</w:t>
      </w:r>
      <w:r>
        <w:rPr>
          <w:rFonts w:ascii="Times New Roman" w:eastAsia="Times New Roman" w:hAnsi="Times New Roman" w:cs="Times New Roman"/>
          <w:noProof/>
          <w:color w:val="343434"/>
          <w:lang w:eastAsia="x-none"/>
        </w:rPr>
        <w:t>ýsir því yfir að vörurnar séu, ef annars er ekki greinilega getið, af … fríðindauppruna</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lastRenderedPageBreak/>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Norwegian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Eksport</w:t>
      </w:r>
      <w:r>
        <w:rPr>
          <w:rFonts w:ascii="Times New Roman" w:eastAsia="Times New Roman" w:hAnsi="Times New Roman" w:cs="Times New Roman"/>
          <w:noProof/>
          <w:color w:val="343434"/>
          <w:lang w:eastAsia="x-none"/>
        </w:rPr>
        <w:t>øren av produktene omfattet av dette dokument (tollmyndighetenes autorisasjons nr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erkl</w:t>
      </w:r>
      <w:r>
        <w:rPr>
          <w:rFonts w:ascii="Times New Roman" w:eastAsia="Times New Roman" w:hAnsi="Times New Roman" w:cs="Times New Roman"/>
          <w:noProof/>
          <w:color w:val="343434"/>
          <w:lang w:eastAsia="x-none"/>
        </w:rPr>
        <w:t>ærer at disse produktene, unntatt hvor annet er tydelig angitt, har … preferanseopprinnelse</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Turkish version</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İșbu belge (gümrük onay No: …</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kapsam</w:t>
      </w:r>
      <w:r>
        <w:rPr>
          <w:rFonts w:ascii="Times New Roman" w:eastAsia="Times New Roman" w:hAnsi="Times New Roman" w:cs="Times New Roman"/>
          <w:noProof/>
          <w:color w:val="343434"/>
          <w:lang w:eastAsia="x-none"/>
        </w:rPr>
        <w:t>ındaki maddelerin ihracatçısı aksi açıkça belirtilmedikçe, bu maddelerin … tercihli menșeli</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maddeler oldu</w:t>
      </w:r>
      <w:r>
        <w:rPr>
          <w:rFonts w:ascii="Times New Roman" w:eastAsia="Times New Roman" w:hAnsi="Times New Roman" w:cs="Times New Roman"/>
          <w:noProof/>
          <w:color w:val="343434"/>
          <w:lang w:eastAsia="x-none"/>
        </w:rPr>
        <w:t>ğunu beyan eder.</w:t>
      </w:r>
    </w:p>
    <w:tbl>
      <w:tblPr>
        <w:tblW w:w="0" w:type="auto"/>
        <w:tblInd w:w="-10" w:type="dxa"/>
        <w:tblLayout w:type="fixed"/>
        <w:tblLook w:val="0000" w:firstRow="0" w:lastRow="0" w:firstColumn="0" w:lastColumn="0" w:noHBand="0" w:noVBand="0"/>
      </w:tblPr>
      <w:tblGrid>
        <w:gridCol w:w="619"/>
        <w:gridCol w:w="18618"/>
      </w:tblGrid>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cumulation applied with … (name of the country/countries)</w:t>
            </w:r>
          </w:p>
        </w:tc>
      </w:tr>
      <w:tr w:rsidR="00D74962">
        <w:tc>
          <w:tcPr>
            <w:tcW w:w="619"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p>
        </w:tc>
        <w:tc>
          <w:tcPr>
            <w:tcW w:w="18618" w:type="dxa"/>
            <w:tcBorders>
              <w:top w:val="single" w:sz="8" w:space="0" w:color="auto"/>
              <w:left w:val="single" w:sz="8" w:space="0" w:color="auto"/>
              <w:bottom w:val="single" w:sz="8" w:space="0" w:color="auto"/>
              <w:right w:val="single" w:sz="8" w:space="0" w:color="auto"/>
            </w:tcBorders>
            <w:shd w:val="clear" w:color="auto" w:fill="FFFFFF"/>
          </w:tcPr>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no cumulation applied</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p>
        </w:tc>
      </w:tr>
    </w:tbl>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4</w:t>
      </w:r>
      <w:r>
        <w:rPr>
          <w:rFonts w:ascii="Times New Roman" w:hAnsi="Times New Roman" w:cs="Times New Roman"/>
          <w:noProof/>
          <w:color w:val="274EC0"/>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(Place and date)</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eastAsia="Times New Roman" w:hAnsi="Times New Roman" w:cs="Times New Roman"/>
          <w:noProof/>
          <w:color w:val="343434"/>
          <w:lang w:eastAsia="x-none"/>
        </w:rPr>
        <w:t>…</w:t>
      </w:r>
      <w:r>
        <w:rPr>
          <w:rFonts w:ascii="Times New Roman" w:hAnsi="Times New Roman" w:cs="Times New Roman"/>
          <w:noProof/>
          <w:color w:val="274EC0"/>
          <w:lang w:eastAsia="x-none"/>
        </w:rPr>
        <w:t> (</w:t>
      </w:r>
      <w:r>
        <w:rPr>
          <w:rFonts w:ascii="Times New Roman" w:hAnsi="Times New Roman" w:cs="Times New Roman"/>
          <w:noProof/>
          <w:color w:val="274EC0"/>
          <w:position w:val="5"/>
          <w:lang w:eastAsia="x-none"/>
        </w:rPr>
        <w:t>5</w:t>
      </w:r>
      <w:r>
        <w:rPr>
          <w:rFonts w:ascii="Times New Roman" w:hAnsi="Times New Roman" w:cs="Times New Roman"/>
          <w:noProof/>
          <w:color w:val="274EC0"/>
          <w:lang w:eastAsia="x-none"/>
        </w:rPr>
        <w:t>)</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343434"/>
          <w:lang w:eastAsia="x-none"/>
        </w:rPr>
      </w:pPr>
      <w:r>
        <w:rPr>
          <w:rFonts w:ascii="Times New Roman" w:hAnsi="Times New Roman" w:cs="Times New Roman"/>
          <w:noProof/>
          <w:color w:val="343434"/>
          <w:lang w:eastAsia="x-none"/>
        </w:rPr>
        <w:t>(Signature of the exporter, in addition the name of the person signing the declaration has to be indicated in clear script)</w:t>
      </w:r>
    </w:p>
    <w:p w:rsidR="00D74962" w:rsidRDefault="00D74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343434"/>
          <w:lang w:eastAsia="x-none"/>
        </w:rPr>
      </w:pPr>
      <w:r>
        <w:rPr>
          <w:rFonts w:ascii="Times New Roman" w:hAnsi="Times New Roman" w:cs="Times New Roman"/>
          <w:noProof/>
          <w:color w:val="274EC0"/>
          <w:lang w:eastAsia="x-none"/>
        </w:rPr>
        <w:t>(</w:t>
      </w:r>
      <w:r>
        <w:rPr>
          <w:rFonts w:ascii="Times New Roman" w:hAnsi="Times New Roman" w:cs="Times New Roman"/>
          <w:noProof/>
          <w:color w:val="274EC0"/>
          <w:position w:val="5"/>
          <w:lang w:eastAsia="x-none"/>
        </w:rPr>
        <w:t>1</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When the origin declaration is made out by an approved exporter, the authorisation number of the approved exporter must be entered in this space. When the origin declaration is not made out by an approved exporter, the words in brackets shall be omitted or the space left blank.</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343434"/>
          <w:lang w:eastAsia="x-none"/>
        </w:rPr>
      </w:pPr>
      <w:r>
        <w:rPr>
          <w:rFonts w:ascii="Times New Roman" w:hAnsi="Times New Roman" w:cs="Times New Roman"/>
          <w:noProof/>
          <w:color w:val="274EC0"/>
          <w:lang w:eastAsia="x-none"/>
        </w:rPr>
        <w:t>(</w:t>
      </w:r>
      <w:r>
        <w:rPr>
          <w:rFonts w:ascii="Times New Roman" w:hAnsi="Times New Roman" w:cs="Times New Roman"/>
          <w:noProof/>
          <w:color w:val="274EC0"/>
          <w:position w:val="5"/>
          <w:lang w:eastAsia="x-none"/>
        </w:rPr>
        <w:t>2</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xml:space="preserve">  Origin of products to be indicated. When the origin declaration relates, in whole or in part, to products originating in Ceuta and Melilla, the exporter must clearly indicate them in the document on which the declaration is made out, by means of the symbol </w:t>
      </w:r>
      <w:r>
        <w:rPr>
          <w:rFonts w:ascii="Times New Roman" w:eastAsia="Times New Roman" w:hAnsi="Times New Roman" w:cs="Times New Roman"/>
          <w:noProof/>
          <w:color w:val="343434"/>
          <w:lang w:eastAsia="x-none"/>
        </w:rPr>
        <w:t>‘CM’.</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343434"/>
          <w:lang w:eastAsia="x-none"/>
        </w:rPr>
      </w:pPr>
      <w:r>
        <w:rPr>
          <w:rFonts w:ascii="Times New Roman" w:hAnsi="Times New Roman" w:cs="Times New Roman"/>
          <w:noProof/>
          <w:color w:val="274EC0"/>
          <w:lang w:eastAsia="x-none"/>
        </w:rPr>
        <w:t>(</w:t>
      </w:r>
      <w:r>
        <w:rPr>
          <w:rFonts w:ascii="Times New Roman" w:hAnsi="Times New Roman" w:cs="Times New Roman"/>
          <w:noProof/>
          <w:color w:val="274EC0"/>
          <w:position w:val="5"/>
          <w:lang w:eastAsia="x-none"/>
        </w:rPr>
        <w:t>3</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Complete and delete where necessary.</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343434"/>
          <w:lang w:eastAsia="x-none"/>
        </w:rPr>
      </w:pPr>
      <w:r>
        <w:rPr>
          <w:rFonts w:ascii="Times New Roman" w:hAnsi="Times New Roman" w:cs="Times New Roman"/>
          <w:noProof/>
          <w:color w:val="274EC0"/>
          <w:lang w:eastAsia="x-none"/>
        </w:rPr>
        <w:t>(</w:t>
      </w:r>
      <w:r>
        <w:rPr>
          <w:rFonts w:ascii="Times New Roman" w:hAnsi="Times New Roman" w:cs="Times New Roman"/>
          <w:noProof/>
          <w:color w:val="274EC0"/>
          <w:position w:val="5"/>
          <w:lang w:eastAsia="x-none"/>
        </w:rPr>
        <w:t>4</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These indications may be omitted if the information is contained on the document itself.</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343434"/>
          <w:lang w:eastAsia="x-none"/>
        </w:rPr>
      </w:pPr>
      <w:r>
        <w:rPr>
          <w:rFonts w:ascii="Times New Roman" w:hAnsi="Times New Roman" w:cs="Times New Roman"/>
          <w:noProof/>
          <w:color w:val="274EC0"/>
          <w:lang w:eastAsia="x-none"/>
        </w:rPr>
        <w:t>(</w:t>
      </w:r>
      <w:r>
        <w:rPr>
          <w:rFonts w:ascii="Times New Roman" w:hAnsi="Times New Roman" w:cs="Times New Roman"/>
          <w:noProof/>
          <w:color w:val="274EC0"/>
          <w:position w:val="5"/>
          <w:lang w:eastAsia="x-none"/>
        </w:rPr>
        <w:t>5</w:t>
      </w:r>
      <w:r>
        <w:rPr>
          <w:rFonts w:ascii="Times New Roman" w:hAnsi="Times New Roman" w:cs="Times New Roman"/>
          <w:noProof/>
          <w:color w:val="274EC0"/>
          <w:lang w:eastAsia="x-none"/>
        </w:rPr>
        <w:t>)</w:t>
      </w:r>
      <w:r>
        <w:rPr>
          <w:rFonts w:ascii="Times New Roman" w:hAnsi="Times New Roman" w:cs="Times New Roman"/>
          <w:noProof/>
          <w:color w:val="343434"/>
          <w:lang w:eastAsia="x-none"/>
        </w:rPr>
        <w:t>  In cases where the exporter is not required to sign, the exemption of signature also implies the exemption of the name of the signatory.</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ANNEX V</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List of Contracting Parties</w:t>
      </w:r>
    </w:p>
    <w:p w:rsidR="00D74962" w:rsidRDefault="00935D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b/>
          <w:bCs/>
          <w:noProof/>
          <w:color w:val="343434"/>
          <w:lang w:eastAsia="x-none"/>
        </w:rPr>
      </w:pPr>
      <w:r>
        <w:rPr>
          <w:rFonts w:ascii="Times New Roman" w:hAnsi="Times New Roman" w:cs="Times New Roman"/>
          <w:b/>
          <w:bCs/>
          <w:noProof/>
          <w:color w:val="343434"/>
          <w:lang w:eastAsia="x-none"/>
        </w:rPr>
        <w:t>which do not apply provisions on partial drawback as provided for in Article 14(7) of this Appendix</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1.The European Union,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2.The EFTA States,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3.The Republic of Turkey,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4.The State of Israel,</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5.The Faroe Islands,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hAnsi="Times New Roman" w:cs="Times New Roman"/>
          <w:noProof/>
          <w:lang w:eastAsia="x-none"/>
        </w:rPr>
        <w:t>6.The participants in the European Union</w:t>
      </w:r>
      <w:r>
        <w:rPr>
          <w:rFonts w:ascii="Times New Roman" w:eastAsia="Times New Roman" w:hAnsi="Times New Roman" w:cs="Times New Roman"/>
          <w:noProof/>
          <w:lang w:eastAsia="x-none"/>
        </w:rPr>
        <w:t>’s Stabilisation and Association Process.</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p>
    <w:p w:rsidR="00D74962" w:rsidRDefault="00935DDF">
      <w:pPr>
        <w:pStyle w:val="doc-t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center"/>
        <w:rPr>
          <w:b/>
          <w:bCs/>
          <w:noProof/>
          <w:color w:val="444444"/>
          <w:lang w:eastAsia="x-none"/>
        </w:rPr>
      </w:pPr>
      <w:r>
        <w:rPr>
          <w:b/>
          <w:bCs/>
          <w:noProof/>
          <w:color w:val="444444"/>
          <w:lang w:eastAsia="x-none"/>
        </w:rPr>
        <w:t>Appendix II</w:t>
      </w:r>
    </w:p>
    <w:p w:rsidR="00D74962" w:rsidRDefault="00935DDF">
      <w:pPr>
        <w:pStyle w:val="ti-grseq-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both"/>
        <w:rPr>
          <w:b/>
          <w:bCs/>
          <w:noProof/>
          <w:color w:val="444444"/>
          <w:lang w:eastAsia="x-none"/>
        </w:rPr>
      </w:pPr>
      <w:r>
        <w:rPr>
          <w:rStyle w:val="bold"/>
          <w:b/>
          <w:bCs/>
          <w:noProof/>
          <w:color w:val="444444"/>
          <w:lang w:eastAsia="x-none"/>
        </w:rPr>
        <w:t>Special provisions derogating from the provisions laid down in appendix I</w:t>
      </w:r>
    </w:p>
    <w:p w:rsidR="00D74962" w:rsidRDefault="00935DDF">
      <w:pPr>
        <w:pStyle w:val="ti-tb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jc w:val="center"/>
        <w:rPr>
          <w:noProof/>
          <w:color w:val="444444"/>
          <w:lang w:eastAsia="x-none"/>
        </w:rPr>
      </w:pPr>
      <w:r>
        <w:rPr>
          <w:noProof/>
          <w:color w:val="444444"/>
          <w:lang w:eastAsia="x-none"/>
        </w:rPr>
        <w:t>TABLE OF CONTENTS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949"/>
        <w:gridCol w:w="8"/>
        <w:gridCol w:w="6"/>
        <w:gridCol w:w="110"/>
        <w:gridCol w:w="33"/>
        <w:gridCol w:w="38"/>
        <w:gridCol w:w="124"/>
        <w:gridCol w:w="49"/>
        <w:gridCol w:w="65"/>
        <w:gridCol w:w="22"/>
        <w:gridCol w:w="146"/>
        <w:gridCol w:w="16"/>
        <w:gridCol w:w="70"/>
        <w:gridCol w:w="1698"/>
        <w:gridCol w:w="4329"/>
        <w:gridCol w:w="1352"/>
      </w:tblGrid>
      <w:tr w:rsidR="00D74962">
        <w:tc>
          <w:tcPr>
            <w:tcW w:w="7663" w:type="dxa"/>
            <w:gridSpan w:val="1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1</w:t>
            </w:r>
          </w:p>
        </w:tc>
        <w:tc>
          <w:tcPr>
            <w:tcW w:w="135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7663" w:type="dxa"/>
            <w:gridSpan w:val="1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Article 2</w:t>
            </w:r>
          </w:p>
        </w:tc>
        <w:tc>
          <w:tcPr>
            <w:tcW w:w="135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w:t>
            </w:r>
          </w:p>
        </w:tc>
      </w:tr>
      <w:tr w:rsidR="00D74962">
        <w:tc>
          <w:tcPr>
            <w:tcW w:w="957"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I</w:t>
            </w:r>
          </w:p>
        </w:tc>
        <w:tc>
          <w:tcPr>
            <w:tcW w:w="8058" w:type="dxa"/>
            <w:gridSpan w:val="1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Trade between the European Union and the participants in the European Union</w:t>
            </w:r>
            <w:r>
              <w:rPr>
                <w:rFonts w:ascii="Times New Roman" w:eastAsia="Times New Roman" w:hAnsi="Times New Roman" w:cs="Times New Roman"/>
                <w:noProof/>
                <w:color w:val="444444"/>
                <w:sz w:val="24"/>
                <w:szCs w:val="24"/>
                <w:lang w:eastAsia="x-none"/>
              </w:rPr>
              <w:t>’s Stabilisation and Association Process</w:t>
            </w:r>
          </w:p>
        </w:tc>
      </w:tr>
      <w:tr w:rsidR="00D74962">
        <w:tc>
          <w:tcPr>
            <w:tcW w:w="1073"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II</w:t>
            </w:r>
          </w:p>
        </w:tc>
        <w:tc>
          <w:tcPr>
            <w:tcW w:w="7942" w:type="dxa"/>
            <w:gridSpan w:val="1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Trade between the European Union and the People</w:t>
            </w:r>
            <w:r>
              <w:rPr>
                <w:rFonts w:ascii="Times New Roman" w:eastAsia="Times New Roman" w:hAnsi="Times New Roman" w:cs="Times New Roman"/>
                <w:noProof/>
                <w:color w:val="444444"/>
                <w:sz w:val="24"/>
                <w:szCs w:val="24"/>
                <w:lang w:eastAsia="x-none"/>
              </w:rPr>
              <w:t>’s Democratic Republic of Algeria</w:t>
            </w:r>
          </w:p>
        </w:tc>
      </w:tr>
      <w:tr w:rsidR="00D74962">
        <w:tc>
          <w:tcPr>
            <w:tcW w:w="1382"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III</w:t>
            </w:r>
          </w:p>
        </w:tc>
        <w:tc>
          <w:tcPr>
            <w:tcW w:w="7633"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Trade between the European Union and the Kingdom of Morocco</w:t>
            </w:r>
          </w:p>
        </w:tc>
      </w:tr>
      <w:tr w:rsidR="00D74962">
        <w:tc>
          <w:tcPr>
            <w:tcW w:w="1404"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IV</w:t>
            </w:r>
          </w:p>
        </w:tc>
        <w:tc>
          <w:tcPr>
            <w:tcW w:w="7611"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Trade between the European Union and the Republic of Tunisia</w:t>
            </w:r>
          </w:p>
        </w:tc>
      </w:tr>
      <w:tr w:rsidR="00D74962">
        <w:tc>
          <w:tcPr>
            <w:tcW w:w="3334" w:type="dxa"/>
            <w:gridSpan w:val="1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V</w:t>
            </w:r>
          </w:p>
        </w:tc>
        <w:tc>
          <w:tcPr>
            <w:tcW w:w="5681"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Ceuta and Melilla</w:t>
            </w:r>
          </w:p>
        </w:tc>
      </w:tr>
      <w:tr w:rsidR="00D74962">
        <w:tc>
          <w:tcPr>
            <w:tcW w:w="1566" w:type="dxa"/>
            <w:gridSpan w:val="1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VI</w:t>
            </w:r>
          </w:p>
        </w:tc>
        <w:tc>
          <w:tcPr>
            <w:tcW w:w="7449" w:type="dxa"/>
            <w:gridSpan w:val="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Joint declaration concerning the Principality of Andorra</w:t>
            </w:r>
          </w:p>
        </w:tc>
      </w:tr>
      <w:tr w:rsidR="00D74962">
        <w:tc>
          <w:tcPr>
            <w:tcW w:w="1636" w:type="dxa"/>
            <w:gridSpan w:val="1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VII</w:t>
            </w:r>
          </w:p>
        </w:tc>
        <w:tc>
          <w:tcPr>
            <w:tcW w:w="7379"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Joint declaration concerning the Republic of San Marino</w:t>
            </w:r>
          </w:p>
        </w:tc>
      </w:tr>
      <w:tr w:rsidR="00D74962">
        <w:tc>
          <w:tcPr>
            <w:tcW w:w="1144" w:type="dxa"/>
            <w:gridSpan w:val="6"/>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VIII</w:t>
            </w:r>
          </w:p>
        </w:tc>
        <w:tc>
          <w:tcPr>
            <w:tcW w:w="7871" w:type="dxa"/>
            <w:gridSpan w:val="10"/>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Trade between the Republic of Turkey and the participants in the European Union</w:t>
            </w:r>
            <w:r>
              <w:rPr>
                <w:rFonts w:ascii="Times New Roman" w:eastAsia="Times New Roman" w:hAnsi="Times New Roman" w:cs="Times New Roman"/>
                <w:noProof/>
                <w:color w:val="444444"/>
                <w:sz w:val="24"/>
                <w:szCs w:val="24"/>
                <w:lang w:eastAsia="x-none"/>
              </w:rPr>
              <w:t>’s Stabilisation and Association Process</w:t>
            </w:r>
          </w:p>
        </w:tc>
      </w:tr>
      <w:tr w:rsidR="00D74962">
        <w:tc>
          <w:tcPr>
            <w:tcW w:w="1317"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IX</w:t>
            </w:r>
          </w:p>
        </w:tc>
        <w:tc>
          <w:tcPr>
            <w:tcW w:w="7698" w:type="dxa"/>
            <w:gridSpan w:val="8"/>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Trade between the Republic of Turkey and the Kingdom of Morocco</w:t>
            </w:r>
          </w:p>
        </w:tc>
      </w:tr>
      <w:tr w:rsidR="00D74962">
        <w:tc>
          <w:tcPr>
            <w:tcW w:w="1268" w:type="dxa"/>
            <w:gridSpan w:val="7"/>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X</w:t>
            </w:r>
          </w:p>
        </w:tc>
        <w:tc>
          <w:tcPr>
            <w:tcW w:w="7747" w:type="dxa"/>
            <w:gridSpan w:val="9"/>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Trade between the Republic of Turkey and the Republic of Tunisia</w:t>
            </w:r>
          </w:p>
        </w:tc>
      </w:tr>
      <w:tr w:rsidR="00D74962">
        <w:tc>
          <w:tcPr>
            <w:tcW w:w="1550" w:type="dxa"/>
            <w:gridSpan w:val="1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XI</w:t>
            </w:r>
          </w:p>
        </w:tc>
        <w:tc>
          <w:tcPr>
            <w:tcW w:w="7465"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Trade between EFTA States and the Republic of Tunisia</w:t>
            </w:r>
          </w:p>
        </w:tc>
      </w:tr>
      <w:tr w:rsidR="00D74962">
        <w:tc>
          <w:tcPr>
            <w:tcW w:w="1106" w:type="dxa"/>
            <w:gridSpan w:val="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XII</w:t>
            </w:r>
          </w:p>
        </w:tc>
        <w:tc>
          <w:tcPr>
            <w:tcW w:w="7909" w:type="dxa"/>
            <w:gridSpan w:val="11"/>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Trade in the framework of the Free Trade Agreement among the Mediterranean Arab countries (Agadir Agreement)</w:t>
            </w:r>
          </w:p>
        </w:tc>
      </w:tr>
      <w:tr w:rsidR="00D74962">
        <w:tc>
          <w:tcPr>
            <w:tcW w:w="94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A</w:t>
            </w:r>
          </w:p>
        </w:tc>
        <w:tc>
          <w:tcPr>
            <w:tcW w:w="8066" w:type="dxa"/>
            <w:gridSpan w:val="1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Supplier</w:t>
            </w:r>
            <w:r>
              <w:rPr>
                <w:rFonts w:ascii="Times New Roman" w:eastAsia="Times New Roman" w:hAnsi="Times New Roman" w:cs="Times New Roman"/>
                <w:noProof/>
                <w:color w:val="444444"/>
                <w:sz w:val="24"/>
                <w:szCs w:val="24"/>
                <w:lang w:eastAsia="x-none"/>
              </w:rPr>
              <w:t>’s declaration for goods which have undergone working or processing in the European Union, Algeria, Morocco or Tunisia without having obtained preferential originating status</w:t>
            </w:r>
          </w:p>
        </w:tc>
      </w:tr>
      <w:tr w:rsidR="00D74962">
        <w:tc>
          <w:tcPr>
            <w:tcW w:w="94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B</w:t>
            </w:r>
          </w:p>
        </w:tc>
        <w:tc>
          <w:tcPr>
            <w:tcW w:w="8066" w:type="dxa"/>
            <w:gridSpan w:val="15"/>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Long-term supplier</w:t>
            </w:r>
            <w:r>
              <w:rPr>
                <w:rFonts w:ascii="Times New Roman" w:eastAsia="Times New Roman" w:hAnsi="Times New Roman" w:cs="Times New Roman"/>
                <w:noProof/>
                <w:color w:val="444444"/>
                <w:sz w:val="24"/>
                <w:szCs w:val="24"/>
                <w:lang w:eastAsia="x-none"/>
              </w:rPr>
              <w:t>’s declaration for goods which have undergone working or processing in the European Union, Algeria, Morocco or Tunisia without having obtained preferential originating status</w:t>
            </w:r>
          </w:p>
        </w:tc>
      </w:tr>
      <w:tr w:rsidR="00D74962">
        <w:tc>
          <w:tcPr>
            <w:tcW w:w="963"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C</w:t>
            </w:r>
          </w:p>
        </w:tc>
        <w:tc>
          <w:tcPr>
            <w:tcW w:w="8052" w:type="dxa"/>
            <w:gridSpan w:val="1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Supplier</w:t>
            </w:r>
            <w:r>
              <w:rPr>
                <w:rFonts w:ascii="Times New Roman" w:eastAsia="Times New Roman" w:hAnsi="Times New Roman" w:cs="Times New Roman"/>
                <w:noProof/>
                <w:color w:val="444444"/>
                <w:sz w:val="24"/>
                <w:szCs w:val="24"/>
                <w:lang w:eastAsia="x-none"/>
              </w:rPr>
              <w:t>’s declaration for goods which have undergone working or processing in Algeria, Morocco, Tunisia or Turkey without having obtained preferential originating status</w:t>
            </w:r>
          </w:p>
        </w:tc>
      </w:tr>
      <w:tr w:rsidR="00D74962">
        <w:tc>
          <w:tcPr>
            <w:tcW w:w="963"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D</w:t>
            </w:r>
          </w:p>
        </w:tc>
        <w:tc>
          <w:tcPr>
            <w:tcW w:w="8052" w:type="dxa"/>
            <w:gridSpan w:val="1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Long-term supplier</w:t>
            </w:r>
            <w:r>
              <w:rPr>
                <w:rFonts w:ascii="Times New Roman" w:eastAsia="Times New Roman" w:hAnsi="Times New Roman" w:cs="Times New Roman"/>
                <w:noProof/>
                <w:color w:val="444444"/>
                <w:sz w:val="24"/>
                <w:szCs w:val="24"/>
                <w:lang w:eastAsia="x-none"/>
              </w:rPr>
              <w:t>’s declaration for goods which have undergone working or processing in Algeria, Morocco, Tunisia or Turkey without having obtained preferential originating status</w:t>
            </w:r>
          </w:p>
        </w:tc>
      </w:tr>
      <w:tr w:rsidR="00D74962">
        <w:tc>
          <w:tcPr>
            <w:tcW w:w="963"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ANNEX E</w:t>
            </w:r>
          </w:p>
        </w:tc>
        <w:tc>
          <w:tcPr>
            <w:tcW w:w="8052" w:type="dxa"/>
            <w:gridSpan w:val="1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Supplier</w:t>
            </w:r>
            <w:r>
              <w:rPr>
                <w:rFonts w:ascii="Times New Roman" w:eastAsia="Times New Roman" w:hAnsi="Times New Roman" w:cs="Times New Roman"/>
                <w:noProof/>
                <w:color w:val="444444"/>
                <w:sz w:val="24"/>
                <w:szCs w:val="24"/>
                <w:lang w:eastAsia="x-none"/>
              </w:rPr>
              <w:t>’s declaration for goods which have undergone working or processing in an EFTA State or Tunisia without having obtained preferential originating status</w:t>
            </w:r>
          </w:p>
        </w:tc>
      </w:tr>
      <w:tr w:rsidR="00D74962">
        <w:tc>
          <w:tcPr>
            <w:tcW w:w="957"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lastRenderedPageBreak/>
              <w:t>ANNEX F</w:t>
            </w:r>
          </w:p>
        </w:tc>
        <w:tc>
          <w:tcPr>
            <w:tcW w:w="8058" w:type="dxa"/>
            <w:gridSpan w:val="14"/>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Long</w:t>
            </w:r>
            <w:r>
              <w:rPr>
                <w:rFonts w:ascii="Times New Roman" w:eastAsia="Times New Roman" w:hAnsi="Times New Roman" w:cs="Times New Roman"/>
                <w:noProof/>
                <w:color w:val="444444"/>
                <w:sz w:val="24"/>
                <w:szCs w:val="24"/>
                <w:lang w:eastAsia="x-none"/>
              </w:rPr>
              <w:t>–term supplier’s declaration for goods which have undergone working or processing in an EFTA State or Tunisia without having obtained preferential originating status</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Contracting Parties may apply in their bilateral trade special provisions derogating from the provisions laid down in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Those special provisions are laid down in the Annexes to this Appendix.</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Goods originating in Ceuta and Melilla, Andorra and San Marino shall be treated as originating products in diagonal trade as referred to in Article 3 of Appendix I, provided a certificate EUR-MED or an origin declaration EUR-MED has been issued in the country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Trade between the European Union and the participants in the European Union</w:t>
      </w:r>
      <w:r>
        <w:rPr>
          <w:rFonts w:ascii="Times New Roman" w:eastAsia="Times New Roman" w:hAnsi="Times New Roman" w:cs="Times New Roman"/>
          <w:b/>
          <w:bCs/>
          <w:noProof/>
          <w:color w:val="444444"/>
          <w:sz w:val="24"/>
          <w:szCs w:val="24"/>
          <w:lang w:eastAsia="x-none"/>
        </w:rPr>
        <w:t>’s Stabilisation and Association Process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products listed below shall be excluded from cumulation provided for in Article 3 of Appendix I, if:</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8625"/>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w:t>
            </w:r>
          </w:p>
        </w:tc>
        <w:tc>
          <w:tcPr>
            <w:tcW w:w="8638"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country of final destination is the European Union,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8118"/>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hAnsi="Times New Roman" w:cs="Times New Roman"/>
                      <w:noProof/>
                      <w:sz w:val="24"/>
                      <w:szCs w:val="24"/>
                      <w:lang w:eastAsia="x-none"/>
                    </w:rPr>
                    <w:t>the materials used in the manufacture of these products are originating in any of the participants in the European Union</w:t>
                  </w:r>
                  <w:r>
                    <w:rPr>
                      <w:rFonts w:ascii="Times New Roman" w:eastAsia="Times New Roman" w:hAnsi="Times New Roman" w:cs="Times New Roman"/>
                      <w:noProof/>
                      <w:sz w:val="24"/>
                      <w:szCs w:val="24"/>
                      <w:lang w:eastAsia="x-none"/>
                    </w:rPr>
                    <w:t>’s Stabilisation and Association Process;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(ii)</w:t>
                  </w:r>
                </w:p>
              </w:tc>
              <w:tc>
                <w:tcPr>
                  <w:tcW w:w="811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these products have acquired their origin on the basis of working or processing carried out in any of the participants in the European Union’s Stabilisation and Association Process; or</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(b)</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country of final destination is any of the participants in the European Union’s Stabilisation and Association Process,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8105"/>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w:t>
                  </w:r>
                </w:p>
              </w:tc>
              <w:tc>
                <w:tcPr>
                  <w:tcW w:w="817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materials used in the manufacture of these products are originating in the European Union;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(ii)</w:t>
                  </w:r>
                </w:p>
              </w:tc>
              <w:tc>
                <w:tcPr>
                  <w:tcW w:w="81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these products have acquired their origin on the basis of working or processing carried out in the European Union.</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290"/>
                    <w:gridCol w:w="6694"/>
                  </w:tblGrid>
                  <w:tr w:rsidR="00D74962">
                    <w:tc>
                      <w:tcPr>
                        <w:tcW w:w="129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CN-Code</w:t>
                        </w:r>
                      </w:p>
                    </w:tc>
                    <w:tc>
                      <w:tcPr>
                        <w:tcW w:w="669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w:t>
                        </w:r>
                      </w:p>
                    </w:tc>
                  </w:tr>
                  <w:tr w:rsidR="00D74962">
                    <w:tc>
                      <w:tcPr>
                        <w:tcW w:w="129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lang w:eastAsia="x-none"/>
                          </w:rPr>
                        </w:pPr>
                        <w:r>
                          <w:rPr>
                            <w:rFonts w:ascii="Times New Roman" w:hAnsi="Times New Roman" w:cs="Times New Roman"/>
                            <w:noProof/>
                            <w:lang w:eastAsia="x-none"/>
                          </w:rPr>
                          <w:t>1704 90 99</w:t>
                        </w:r>
                      </w:p>
                    </w:tc>
                    <w:tc>
                      <w:tcPr>
                        <w:tcW w:w="669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Other sugar confectionery, not containing cocoa</w:t>
                        </w:r>
                      </w:p>
                    </w:tc>
                  </w:tr>
                  <w:tr w:rsidR="00D74962">
                    <w:tc>
                      <w:tcPr>
                        <w:tcW w:w="129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lang w:eastAsia="x-none"/>
                          </w:rPr>
                        </w:pPr>
                        <w:r>
                          <w:rPr>
                            <w:rFonts w:ascii="Times New Roman" w:hAnsi="Times New Roman" w:cs="Times New Roman"/>
                            <w:noProof/>
                            <w:lang w:eastAsia="x-none"/>
                          </w:rPr>
                          <w:t>1806 10 30</w:t>
                        </w:r>
                      </w:p>
                    </w:tc>
                    <w:tc>
                      <w:tcPr>
                        <w:tcW w:w="669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Chocolate and other food preparations containing cocoa</w:t>
                        </w:r>
                      </w:p>
                    </w:tc>
                  </w:tr>
                  <w:tr w:rsidR="00D74962">
                    <w:tc>
                      <w:tcPr>
                        <w:tcW w:w="129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lang w:eastAsia="x-none"/>
                          </w:rPr>
                        </w:pPr>
                        <w:r>
                          <w:rPr>
                            <w:rFonts w:ascii="Times New Roman" w:hAnsi="Times New Roman" w:cs="Times New Roman"/>
                            <w:noProof/>
                            <w:lang w:eastAsia="x-none"/>
                          </w:rPr>
                          <w:t>1806 10 90</w:t>
                        </w:r>
                      </w:p>
                    </w:tc>
                    <w:tc>
                      <w:tcPr>
                        <w:tcW w:w="669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Cocoa powder, containing added sugar or sweetening matter: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Containing 65 % or more but less than 80 % by weight of sucrose (including invert sugar expressed as sucrose) or isoglucose expressed as sucrose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Containing 80 % or more by weight of sucrose (including invert sugar expressed as sucrose) or isoglucose expressed as sucrose</w:t>
                        </w:r>
                      </w:p>
                    </w:tc>
                  </w:tr>
                  <w:tr w:rsidR="00D74962">
                    <w:tc>
                      <w:tcPr>
                        <w:tcW w:w="129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1806 20 95</w:t>
                        </w:r>
                      </w:p>
                    </w:tc>
                    <w:tc>
                      <w:tcPr>
                        <w:tcW w:w="669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Other food preparations containing cocoa in block, slabs or bars weighing more than 2 kg or in liquid, paste, powder, granular or other bulk form in containers or immediate packaging of a content exceeding 2 kg</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lastRenderedPageBreak/>
                          <w:t>– – Other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Other</w:t>
                        </w:r>
                      </w:p>
                    </w:tc>
                  </w:tr>
                  <w:tr w:rsidR="00D74962">
                    <w:tc>
                      <w:tcPr>
                        <w:tcW w:w="129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lastRenderedPageBreak/>
                          <w:t>1901 90 99</w:t>
                        </w:r>
                      </w:p>
                    </w:tc>
                    <w:tc>
                      <w:tcPr>
                        <w:tcW w:w="669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Malt extract, food preparations of flour, groats, meal, starch or malt extract, not containing cocoa or containing less than 40 % by weight of cocoa calculated on a totally defatted basis, not elsewhere specified or included, food preparations of goods of headings 0401 to 0404, not containing cocoa or containing less than 5% by weight of cocoa calculated on a totally defatted basis, not elsewhere specified or included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Other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Other (than malt extract)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Other</w:t>
                        </w:r>
                      </w:p>
                    </w:tc>
                  </w:tr>
                  <w:tr w:rsidR="00D74962">
                    <w:tc>
                      <w:tcPr>
                        <w:tcW w:w="129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2101 12 98</w:t>
                        </w:r>
                      </w:p>
                    </w:tc>
                    <w:tc>
                      <w:tcPr>
                        <w:tcW w:w="669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Other preparations with a basis of coffee</w:t>
                        </w:r>
                      </w:p>
                    </w:tc>
                  </w:tr>
                  <w:tr w:rsidR="00D74962">
                    <w:tc>
                      <w:tcPr>
                        <w:tcW w:w="129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2101 20 98</w:t>
                        </w:r>
                      </w:p>
                    </w:tc>
                    <w:tc>
                      <w:tcPr>
                        <w:tcW w:w="669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Other preparations with a basis of tea or mate</w:t>
                        </w:r>
                      </w:p>
                    </w:tc>
                  </w:tr>
                  <w:tr w:rsidR="00D74962">
                    <w:tc>
                      <w:tcPr>
                        <w:tcW w:w="129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2106 90 59</w:t>
                        </w:r>
                      </w:p>
                    </w:tc>
                    <w:tc>
                      <w:tcPr>
                        <w:tcW w:w="669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Food preparations not elsewhere specified or included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Other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Other</w:t>
                        </w:r>
                      </w:p>
                    </w:tc>
                  </w:tr>
                  <w:tr w:rsidR="00D74962">
                    <w:tc>
                      <w:tcPr>
                        <w:tcW w:w="129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2106 90 98</w:t>
                        </w:r>
                      </w:p>
                    </w:tc>
                    <w:tc>
                      <w:tcPr>
                        <w:tcW w:w="669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Food preparations not elsewhere specified or included: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Other (than protein concentrates and textured protein substances)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Other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Other</w:t>
                        </w:r>
                      </w:p>
                    </w:tc>
                  </w:tr>
                  <w:tr w:rsidR="00D74962">
                    <w:tc>
                      <w:tcPr>
                        <w:tcW w:w="129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3302 10 29</w:t>
                        </w:r>
                      </w:p>
                    </w:tc>
                    <w:tc>
                      <w:tcPr>
                        <w:tcW w:w="669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Mixtures of odoriferous substances and mixtures (including alcoholic solutions) with a basis of one or more of these substances, of a kind used as raw materials in industry; other preparations based on odoriferous substances, of a kind used for the manufacture of beverages: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Of a kind used in the food or drink industries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Of the type used in the drink industries: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Preparations containing all flavouring agents characterizing a beverage: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 Of an actual alcoholic strength by volume exceeding 0.5 %</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 Other:</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 – Containing no milkfats, sucrose, isoglucose, glucose, or starch or containing, by weight, less than 1.5 % milkfat, 5 % sucrose or isoglucose, 5 % glucose or starch</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 – Other</w:t>
                        </w:r>
                      </w:p>
                    </w:tc>
                  </w:tr>
                </w:tbl>
                <w:p w:rsidR="00D74962" w:rsidRDefault="00D74962">
                  <w:pPr>
                    <w:widowControl w:val="0"/>
                    <w:spacing w:after="0" w:line="240" w:lineRule="auto"/>
                    <w:rPr>
                      <w:rFonts w:ascii="Times New Roman" w:eastAsia="Times New Roman" w:hAnsi="Times New Roman" w:cs="Times New Roman"/>
                      <w:noProof/>
                      <w:lang w:eastAsia="x-none"/>
                    </w:rPr>
                  </w:pPr>
                </w:p>
              </w:tc>
            </w:tr>
          </w:tbl>
          <w:p w:rsidR="00D74962" w:rsidRDefault="00D74962">
            <w:pPr>
              <w:widowControl w:val="0"/>
              <w:spacing w:after="0" w:line="240" w:lineRule="auto"/>
              <w:rPr>
                <w:rFonts w:ascii="Times New Roman" w:eastAsia="Times New Roman" w:hAnsi="Times New Roman" w:cs="Times New Roman"/>
                <w:noProof/>
                <w:lang w:eastAsia="x-none"/>
              </w:rPr>
            </w:pP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lastRenderedPageBreak/>
        <w:t>ANNEX II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Trade between the European Union and the People</w:t>
      </w:r>
      <w:r>
        <w:rPr>
          <w:rFonts w:ascii="Times New Roman" w:eastAsia="Times New Roman" w:hAnsi="Times New Roman" w:cs="Times New Roman"/>
          <w:b/>
          <w:bCs/>
          <w:noProof/>
          <w:color w:val="444444"/>
          <w:sz w:val="24"/>
          <w:szCs w:val="24"/>
          <w:lang w:eastAsia="x-none"/>
        </w:rPr>
        <w:t>’s Democratic Republic of Algeria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having acquired their origin by application of the provisions foreseen in this Annex shall be excluded from cumulation as referred to in Article 3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Cumulation in the European Union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For the purpose of implementing Article 2(1)(b) of Appendix I, working or processing carried out in Algeria, Morocco, or Tunisia shall be considered as having been carried out in the European Union when the products obtained undergo subsequent working or processing in the European Union. Where, pursuant to this provision, the originating products are obtained in two or more of </w:t>
      </w:r>
      <w:r>
        <w:rPr>
          <w:rFonts w:ascii="Times New Roman" w:hAnsi="Times New Roman" w:cs="Times New Roman"/>
          <w:noProof/>
          <w:color w:val="444444"/>
          <w:sz w:val="24"/>
          <w:szCs w:val="24"/>
          <w:lang w:eastAsia="x-none"/>
        </w:rPr>
        <w:lastRenderedPageBreak/>
        <w:t>the countries concerned, they shall be considered as originating in the European Union only if the working or processing goes beyond the operations referred to in Article 6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Cumulation in Algeria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 of implementing Article 2(1)(b) of Appendix I, working or processing carried out in the European Union, in Morocco or Tunisia shall be considered as having been carried out in Algeria when the products obtained undergo subsequent working or processing in Algeria. Where, pursuant to this provision, the originating products are obtained in two or more of the countries concerned, they shall be considered as originating in Algeria only if the working or processing goes beyond the operations referred to in Article 6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Proofs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Without prejudice to Article 16(4) and (5) of Appendix I, a movement certificate EUR.1 shall be issued by the customs authorities of a Member State of the European Union or of Algeria if the products concerned can be considered as products originating in the European Union or in Algeria, with application of the cumulation referred to in Articles 2 and 3 of this Annex,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Without prejudice to Article 21(2) and (3) of Appendix I, an origin declaration may be made out if the products concerned can be considered as products originating in the European Union or in Algeria, with application of the cumulation referred to in Articles 2 and 3 of this Annex,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When a movement certificate EUR.1 is issued, or an origin declaration is made out, in the European Union or Algeria for originating products, in the manufacture of which goods coming from Algeria, Morocco, Tunisia or the European Union which have undergone working or processing in these countries without having obtained preferential originating status, have been used, account shall be taken of the supplier</w:t>
      </w:r>
      <w:r>
        <w:rPr>
          <w:rFonts w:ascii="Times New Roman" w:eastAsia="Times New Roman" w:hAnsi="Times New Roman" w:cs="Times New Roman"/>
          <w:noProof/>
          <w:color w:val="444444"/>
          <w:sz w:val="24"/>
          <w:szCs w:val="24"/>
          <w:lang w:eastAsia="x-none"/>
        </w:rPr>
        <w:t>’s declaration given for those goods in accordance with this Article.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The supplier’s declaration referred to in paragraph 1 shall serve as evidence of the working or processing undergone in Algeria, Morocco, Tunisia or the European Union by the goods concerned for the purpose of determining whether the products in the manufacture of which those goods are used, may be considered as products originating in the European Union or Algeria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A separate supplier’s declaration shall, except in the cases provided in paragraph 4, be made out by the supplier for each consignment of goods in the form prescribed in Annex A on a sheet of paper annexed to the invoice, the delivery note or any other commercial document describing the goods concerned in sufficient detail to enable them to be identified.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Where a supplier regularly supplies a particular customer with goods for which the working or processing undergone in Algeria, Morocco, Tunisia or the European Union is expected to remain constant for considerable periods of time, he may provide a single supplier’s declaration to cover subsequent consignments of those goods (hereinafter referred to as a ‘long-term supplier’s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lastRenderedPageBreak/>
        <w:t>A long-term supplier’s declaration may normally be valid for a period of up to one year from the date of making out the declaration. The customs authorities of the country where the declaration is made out lay down the conditions under which longer periods may be used.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long-term supplier’s declaration shall be made out by the supplier in the form prescribed in Annex B and shall describe the goods concerned in sufficient detail to enable them to be identified. It shall be provided to the customer concerned before he is supplied with the first consignment of goods covered by that declaration or together with his first consignment.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supplier shall inform his customer immediately if the long-term supplier’s declaration is no longer applicable to the goods supplied.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5.   The supplier’s declarations referred to in paragraphs 3 and 4 shall be typed or printed using one of the languages in which the Agreement is drawn up, in accordance with the provisions of the national law of the country where the declaration is made out, and shall bear the original signature of the supplier in manuscript. The declaration may also be handwritten; in such a case, it shall be written in ink in printed characters.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6.   The supplier making out a declaration shall be prepared to submit at any time, at the request of the customs authorities of the country where the declaration is made out, all appropriate documents proving that the information given on that declaration is correct.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Supporting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Supplier</w:t>
      </w:r>
      <w:r>
        <w:rPr>
          <w:rFonts w:ascii="Times New Roman" w:eastAsia="Times New Roman" w:hAnsi="Times New Roman" w:cs="Times New Roman"/>
          <w:noProof/>
          <w:color w:val="444444"/>
          <w:sz w:val="24"/>
          <w:szCs w:val="24"/>
          <w:lang w:eastAsia="x-none"/>
        </w:rPr>
        <w:t>’s declarations proving the working or processing undergone in the European Union, Algeria, Morocco or Tunisia by materials used, made out in one of these countries, shall be treated as a document referred to in Articles 16(3) and 21(5) of Appendix I and Article 5(6) of this Annex used for the purpose of proving that products covered by a movement certificate EUR.1 or an origin declaration may be considered as products originating in the European Union or in Algeria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Preservation of 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supplier making out a supplier</w:t>
      </w:r>
      <w:r>
        <w:rPr>
          <w:rFonts w:ascii="Times New Roman" w:eastAsia="Times New Roman" w:hAnsi="Times New Roman" w:cs="Times New Roman"/>
          <w:noProof/>
          <w:color w:val="444444"/>
          <w:sz w:val="24"/>
          <w:szCs w:val="24"/>
          <w:lang w:eastAsia="x-none"/>
        </w:rPr>
        <w:t>’s declaration shall keep for at least three years copies of the declaration and of all the invoices, delivery notes or other commercial documents to which that declaration is annexed as well as the documents referred to in Article 5(6).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supplier making out a long-term supplier’s declaration shall keep for at least three years copies of the declaration and of all the invoices, delivery notes or other commercial documents concerning goods covered by that declaration sent to the customer concerned, as well as the documents referred to in Article 5(6). This period shall begin from the date of expiry of validity of the long-term supplier’s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Administrative cooperation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In order to ensure the proper application of this Annex, the European Union and Algeria shall assist each other, through the competent customs authorities, in checking the authenticity of the movement certificates EUR.1, the origin declarations or the supplier</w:t>
      </w:r>
      <w:r>
        <w:rPr>
          <w:rFonts w:ascii="Times New Roman" w:eastAsia="Times New Roman" w:hAnsi="Times New Roman" w:cs="Times New Roman"/>
          <w:noProof/>
          <w:color w:val="444444"/>
          <w:sz w:val="24"/>
          <w:szCs w:val="24"/>
          <w:lang w:eastAsia="x-none"/>
        </w:rPr>
        <w:t>’s declarations and the correctness of the information given in these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Verification of 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1.   Subsequent verifications of supplier</w:t>
      </w:r>
      <w:r>
        <w:rPr>
          <w:rFonts w:ascii="Times New Roman" w:eastAsia="Times New Roman" w:hAnsi="Times New Roman" w:cs="Times New Roman"/>
          <w:noProof/>
          <w:color w:val="444444"/>
          <w:sz w:val="24"/>
          <w:szCs w:val="24"/>
          <w:lang w:eastAsia="x-none"/>
        </w:rPr>
        <w:t>’s declarations or long-term supplier’s declarations may be carried out at random or whenever the customs authorities of the country where such declarations have been taken into account to issue a movement certificate EUR.1 or to make out an origin declaration, have reasonable doubts as to the authenticity of the document or the correctness of the information given in this document.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For the purposes of implementing the provisions of paragraph 1, the customs authorities of the country referred to in paragraph 1 shall return the supplier’s declaration or the long-term supplier’s declaration and invoices, delivery notes or other commercial documents concerning goods covered by such declaration, to the customs authorities of the country where the declaration was made out, giving, where appropriate, the reasons of substance or form of the request for verification.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They shall forward, in support of the request for subsequent verification, any documents and information that have been obtained suggesting that the information given in the supplier’s declaration or the long-term supplier’s declaration is incorrect.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The verification shall be carried out by the customs authorities of the country where the supplier’s declaration or the long-term supplier’s declaration was made out. For this purpose, they shall have the right to call for any evidence and carry out any inspection of the supplier’s accounts or any other check which they consider appropriate.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The customs authorities requesting the verification shall be informed of the results thereof as soon as possible. These results shall indicate clearly whether the information given in the supplier’s declaration or the long-term supplier’s declaration is correct and make it possible for them to determine whether and to what extent such declaration could be taken into account for issuing a movement certificate EUR.1 or for making out an origin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Sanctions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Penalties shall be imposed on any person who draws up, or causes to be drawn up, a document which contains incorrect information for the purpose of obtaining a preferential treatment for products.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Free zones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The European Union and Algeria shall take all necessary steps to ensure that products traded under cover of a proof of origin, which in the course of transport use a free zone situated in their territory, are not substituted by other goods and do not undergo handling other than normal operations designed to prevent their deterioration.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By way of derogation from paragraph 1, when products originating in the European Union or Algeria are imported into a free zone under cover of a proof of origin and undergo treatment or processing, the authorities concerned shall issue a new movement certificate EUR.1 at the exporter</w:t>
      </w:r>
      <w:r>
        <w:rPr>
          <w:rFonts w:ascii="Times New Roman" w:eastAsia="Times New Roman" w:hAnsi="Times New Roman" w:cs="Times New Roman"/>
          <w:noProof/>
          <w:color w:val="444444"/>
          <w:sz w:val="24"/>
          <w:szCs w:val="24"/>
          <w:lang w:eastAsia="x-none"/>
        </w:rPr>
        <w:t>’s request, if the treatment or processing undergone complies with the provisions of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III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Trade between the European Union and the Kingdom of Morocco</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having acquired their origin by application of the provisions foreseen in this Annex shall be excluded from cumulation as referred to in Article 3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lastRenderedPageBreak/>
        <w:t>Cumulation in the European Union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 of implementing Article 2(1)(b) of Appendix I, working or processing carried out in Algeria, Morocco or Tunisia shall be considered as having been carried out in the European Union when the products obtained undergo subsequent working or processing in the European Union. Where, pursuant to this provision, the originating products are obtained in two or more of the countries concerned, they shall be considered as originating in the European Union only if the working or processing goes beyond the operations referred to in Article 6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Cumulation in Morocco</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 of implementing Article 2(1)(b) of Appendix I, working or processing carried out in the European Union, Algeria or Tunisia shall be considered as having been carried out in Morocco when the products obtained undergo subsequent working or processing in Morocco. Where, pursuant to this provision, the originating products are obtained in two or more of the countries concerned, they shall be considered as originating in Morocco only if the working or processing goes beyond the operations referred to in Article 6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Proofs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Without prejudice to Article 16(4) and (5) of Appendix I, a movement certificate EUR.1 shall be issued by the customs authorities of a Member State of the European Union or of Morocco if the products concerned can be considered as products originating in the European Union or in Morocco, with application of the cumulation referred to in Articles 2 and 3 of this Annex,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Without prejudice to Article 21(2) and (3) of Appendix I, an origin declaration may be made out if the products concerned can be considered as products originating in the European Union or in Morocco, with application of the cumulation referred to in Articles 2 and 3 of this Annex,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When a movement certificate EUR.1 is issued, or an origin declaration is made out, in the European Union or Morocco for originating products, in the manufacture of which goods coming from Algeria, Morocco, Tunisia or the European Union which have undergone working or processing in these countries without having obtained preferential originating status, have been used, account shall be taken of the supplier</w:t>
      </w:r>
      <w:r>
        <w:rPr>
          <w:rFonts w:ascii="Times New Roman" w:eastAsia="Times New Roman" w:hAnsi="Times New Roman" w:cs="Times New Roman"/>
          <w:noProof/>
          <w:color w:val="444444"/>
          <w:sz w:val="24"/>
          <w:szCs w:val="24"/>
          <w:lang w:eastAsia="x-none"/>
        </w:rPr>
        <w:t>’s declaration given for those goods in accordance with this Article.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The supplier’s declaration referred to in paragraph 1 shall serve as evidence of the working or processing undergone in Algeria, Morocco, Tunisia or the European Union by the goods concerned for the purpose of determining whether the products in the manufacture of which these goods are used, may be considered as products originating in the European Union or Morocco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A separate supplier’s declaration shall, except in the cases provided in paragraph 4, be made out by the supplier for each consignment of goods in the form prescribed in Annex A on a sheet of paper annexed to the invoice, the delivery note or any other commercial document describing the goods concerned in sufficient detail to enable them to be identified.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lastRenderedPageBreak/>
        <w:t>4.   Where a supplier regularly supplies a particular customer with goods for which the working or processing undergone in Algeria, Morocco, Tunisia or the European Union is expected to remain constant for considerable periods of time, he may provide a single supplier’s declaration to cover subsequent consignments of those goods (hereinafter referred to as a ‘long-term supplier’s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A long-term supplier’s declaration may normally be valid for a period of up to one year from the date of making out the declaration. The customs authorities of the country where the declaration is made out lay down the conditions under which longer periods may be used.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long-term supplier’s declaration shall be made out by the supplier in the form prescribed in Annex B and shall describe the goods concerned in sufficient detail to enable them to be identified. It shall be provided to the customer concerned before he is supplied with the first consignment of goods covered by that declaration or together with his first consignment.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supplier shall inform his customer immediately if the long-term supplier’s declaration is no longer applicable to the goods supplied.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5.   The supplier’s declarations referred to in paragraphs 3 and 4 shall be typed or printed using one of the languages in which the Agreement is drawn up, in accordance with the provisions of the national law of the country where the declaration is made out, and shall bear the original signature of the supplier in manuscript. The declaration may also be handwritten; in such a case, it shall be written in ink in printed characters.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6.   The supplier making out a declaration shall be prepared to submit at any time, at the request of the customs authorities of the country where the declaration is made out, all appropriate documents proving that the information given on that declaration is correct.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Supporting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Supplier</w:t>
      </w:r>
      <w:r>
        <w:rPr>
          <w:rFonts w:ascii="Times New Roman" w:eastAsia="Times New Roman" w:hAnsi="Times New Roman" w:cs="Times New Roman"/>
          <w:noProof/>
          <w:color w:val="444444"/>
          <w:sz w:val="24"/>
          <w:szCs w:val="24"/>
          <w:lang w:eastAsia="x-none"/>
        </w:rPr>
        <w:t>’s declarations proving the working or processing undergone in the European Union, Algeria, Morocco or Tunisia by materials used, made out in one of these countries, shall be treated as a document referred to in Articles 16(3) and 21(5) of Appendix I and Article 5(6) of this Annex used for the purpose of proving that products covered by a movement certificate EUR.1 or an origin declaration may be considered as products originating in the European Union or in Morocco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Preservation of 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supplier making out a supplier</w:t>
      </w:r>
      <w:r>
        <w:rPr>
          <w:rFonts w:ascii="Times New Roman" w:eastAsia="Times New Roman" w:hAnsi="Times New Roman" w:cs="Times New Roman"/>
          <w:noProof/>
          <w:color w:val="444444"/>
          <w:sz w:val="24"/>
          <w:szCs w:val="24"/>
          <w:lang w:eastAsia="x-none"/>
        </w:rPr>
        <w:t>’s declaration shall keep for at least three years copies of the declaration and of all the invoices, delivery notes or other commercial documents to which this declaration is annexed as well as the documents referred to in Article 5(6).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supplier making out a long-term supplier’s declaration shall keep for at least three years copies of the declaration and of all the invoices, delivery notes or other commercial documents concerning goods covered by that declaration sent to the customer concerned, as well as the documents referred to in Article 5(6). This period shall begin from the date of expiry of validity of the long-term supplier’s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Administrative cooperation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In order to ensure the proper application of this Annex, the European Union and Morocco shall assist each other, through the competent customs authorities, in checking the authenticity of the </w:t>
      </w:r>
      <w:r>
        <w:rPr>
          <w:rFonts w:ascii="Times New Roman" w:hAnsi="Times New Roman" w:cs="Times New Roman"/>
          <w:noProof/>
          <w:color w:val="444444"/>
          <w:sz w:val="24"/>
          <w:szCs w:val="24"/>
          <w:lang w:eastAsia="x-none"/>
        </w:rPr>
        <w:lastRenderedPageBreak/>
        <w:t>movement certificates EUR.1, the origin declarations or the supplier</w:t>
      </w:r>
      <w:r>
        <w:rPr>
          <w:rFonts w:ascii="Times New Roman" w:eastAsia="Times New Roman" w:hAnsi="Times New Roman" w:cs="Times New Roman"/>
          <w:noProof/>
          <w:color w:val="444444"/>
          <w:sz w:val="24"/>
          <w:szCs w:val="24"/>
          <w:lang w:eastAsia="x-none"/>
        </w:rPr>
        <w:t>’s declarations and the correctness of the information given in these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Verification of 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Subsequent verifications of supplier</w:t>
      </w:r>
      <w:r>
        <w:rPr>
          <w:rFonts w:ascii="Times New Roman" w:eastAsia="Times New Roman" w:hAnsi="Times New Roman" w:cs="Times New Roman"/>
          <w:noProof/>
          <w:color w:val="444444"/>
          <w:sz w:val="24"/>
          <w:szCs w:val="24"/>
          <w:lang w:eastAsia="x-none"/>
        </w:rPr>
        <w:t>’s declarations or long-term supplier’s declarations may be carried out at random or whenever the customs authorities of the country where such declarations have been taken into account to issue a movement certificate EUR.1 or to make out an origin declaration, have reasonable doubts as to the authenticity of the document or the correctness of the information given in this document.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For the purposes of implementing the provisions of paragraph 1, the customs authorities of the country referred to in paragraph 1 shall return the supplier’s declaration or the long-term supplier’s declaration and invoices, delivery notes or other commercial documents concerning goods covered by such declaration, to the customs authorities of the country where the declaration was made out, giving, where appropriate, the reasons of substance or form of the request for verification.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They shall forward, in support of the request for subsequent verification, any documents and information that have been obtained suggesting that the information given in the supplier’s declaration or the long-term supplier’s declaration is incorrect.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The verification shall be carried out by the customs authorities of the country where the supplier’s declaration or the long-term supplier’s declaration was made out. For this purpose, they shall have the right to call for any evidence and carry out any inspection of the supplier’s accounts or any other check which they consider appropriate.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The customs authorities requesting the verification shall be informed of the results thereof as soon as possible. These results shall indicate clearly whether the information given in the supplier’s declaration or the long-term supplier’s declaration is correct and make it possible for them to determine whether and to what extent such declaration could be taken into account for issuing a movement certificate EUR.1 or for making out an origin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Sanctions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Penalties shall be imposed on any person who draws up, or causes to be drawn up, a document which contains incorrect information for the purpose of obtaining a preferential treatment for products.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Free zones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The European Union and Morocco shall take all necessary steps to ensure that products traded under cover of a proof of origin, which in the course of transport use a free zone situated in their territory, are not substituted by other goods and do not undergo handling other than normal operations designed to prevent their deterioration.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By way of derogation from paragraph 1, when products originating in the European Union or Morocco are imported into a free zone under cover of a proof of origin and undergo treatment or processing, the authorities concerned shall issue a new movement certificate EUR.1 at the exporter</w:t>
      </w:r>
      <w:r>
        <w:rPr>
          <w:rFonts w:ascii="Times New Roman" w:eastAsia="Times New Roman" w:hAnsi="Times New Roman" w:cs="Times New Roman"/>
          <w:noProof/>
          <w:color w:val="444444"/>
          <w:sz w:val="24"/>
          <w:szCs w:val="24"/>
          <w:lang w:eastAsia="x-none"/>
        </w:rPr>
        <w:t>’s request, if the treatment or processing undergone complies with the provisions of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IV</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Trade between the European Union and the Republic of Tunisia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lastRenderedPageBreak/>
        <w:t>Article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having acquired their origin by application of the provisions foreseen in this Annex shall be excluded from cumulation as referred to in Article 3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Cumulation in the European Union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 of implementing Article 2(1)(b) of Appendix I, working or processing carried out in Algeria, Morocco or Tunisia shall be considered as having been carried out in the European Union when the products obtained undergo subsequent working or processing in the European Union. Where, pursuant to this provision, the originating products are obtained in two or more of the countries concerned, they shall be considered as originating in the European Union only if the working or processing goes beyond the operations referred to in Article 6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Cumulation in Tunisia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 of implementing Article 2(1)(b) of Appendix I, working or processing carried out in the European Union, Algeria or Morocco shall be considered as having been carried out in Tunisia when the products obtained undergo subsequent working or processing in Tunisia. Where, pursuant to this provision, the originating products are obtained in two or more of the countries concerned, they shall be considered as originating in Tunisia only if the working or processing goes beyond the operations referred to in Article 6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Proofs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Without prejudice to Article 16(4) and (5) of Appendix I, a movement certificate EUR.1 shall be issued by the customs authorities of a Member State of the European Union or of Tunisia if the products concerned can be considered as products originating in the European Union or in Tunisia, with application of the cumulation referred to in Articles 2 and 3 of this Annex,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Without prejudice to Article 21(2) and (3) of Appendix I, an origin declaration may be made out if the products concerned may be considered as products originating in the European Union or in Tunisia, with application of the cumulation referred to in Articles 2 and 3 of this Annex,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When a movement certificate EUR.1 is issued, or an origin declaration is made out, in the European Union or Tunisia for originating products, in the manufacture of which goods coming from Algeria, Morocco, Tunisia or the European Union which have undergone working or processing in these countries without having obtained preferential originating status, have been used, account shall be taken of the supplier</w:t>
      </w:r>
      <w:r>
        <w:rPr>
          <w:rFonts w:ascii="Times New Roman" w:eastAsia="Times New Roman" w:hAnsi="Times New Roman" w:cs="Times New Roman"/>
          <w:noProof/>
          <w:color w:val="444444"/>
          <w:sz w:val="24"/>
          <w:szCs w:val="24"/>
          <w:lang w:eastAsia="x-none"/>
        </w:rPr>
        <w:t>’s declaration given for those goods in accordance with this Article.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The supplier’s declaration referred to in paragraph 1 shall serve as evidence of the working or processing undergone in Algeria, Morocco, Tunisia or the European Union by the goods concerned for the purpose of determining whether the products in the manufacture of which these goods are used, can be considered as products originating in the European Union or Tunisia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lastRenderedPageBreak/>
        <w:t>3.   A separate supplier’s declaration shall, except in the cases provided in paragraph 4, be made out by the supplier for each consignment of goods in the form prescribed in Annex A on a sheet of paper annexed to the invoice, the delivery note or any other commercial document describing the goods concerned in sufficient detail to enable them to be identified.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Where a supplier regularly supplies a particular customer with goods for which the working or processing undergone in Algeria, Morocco, Tunisia or the European Union is expected to remain constant for considerable periods of time, he may provide a single supplier’s declaration to cover subsequent consignments of those goods (hereinafter referred to as a ‘long-term supplier’s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A long-term supplier’s declaration may normally be valid for a period of up to one year from the date of making out the declaration. The customs authorities of the country where the declaration is made out lay down the conditions under which longer periods may be used.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long-term supplier’s declaration shall be made out by the supplier in the form prescribed in Annex B and shall describe the goods concerned in sufficient detail to enable them to be identified. It shall be provided to the customer concerned before he is supplied with the first consignment of goods covered by that declaration or together with his first consignment.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supplier shall inform his customer immediately if the long-term supplier’s declaration is no longer applicable to the goods supplied.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5.   The supplier’s declarations referred to in paragraphs 3 and 4 shall be typed or printed using one of the languages in which the Agreement is drawn up, in accordance with the provisions of the national law of the country where the declaration is made out, and shall bear the original signature of the supplier in manuscript. The declaration may also be handwritten; in such a case, it shall be written in ink in printed characters.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6.   The supplier making out a declaration shall be prepared to submit at any time, at the request of the customs authorities of the country where the declaration is made out, all appropriate documents proving that the information given on that declaration is correct.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Supporting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Supplier</w:t>
      </w:r>
      <w:r>
        <w:rPr>
          <w:rFonts w:ascii="Times New Roman" w:eastAsia="Times New Roman" w:hAnsi="Times New Roman" w:cs="Times New Roman"/>
          <w:noProof/>
          <w:color w:val="444444"/>
          <w:sz w:val="24"/>
          <w:szCs w:val="24"/>
          <w:lang w:eastAsia="x-none"/>
        </w:rPr>
        <w:t>’s declarations proving the working or processing undergone in the European Union, Algeria, Morocco or Tunisia by materials used, made out in one of these countries, shall be treated as a document referred to in Articles 16(3) and 21(5) of Appendix I and Article 5(6) of this Annex used for the purpose of proving that products covered by a movement certificate EUR.1 or an origin declaration may be considered as products originating in the European Union or in Tunisia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Preservation of 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supplier making out a supplier</w:t>
      </w:r>
      <w:r>
        <w:rPr>
          <w:rFonts w:ascii="Times New Roman" w:eastAsia="Times New Roman" w:hAnsi="Times New Roman" w:cs="Times New Roman"/>
          <w:noProof/>
          <w:color w:val="444444"/>
          <w:sz w:val="24"/>
          <w:szCs w:val="24"/>
          <w:lang w:eastAsia="x-none"/>
        </w:rPr>
        <w:t>’s declaration shall keep for at least three years copies of the declaration and of all the invoices, delivery notes or other commercial document to which this declaration is annexed as well as the documents referred to in Article 5(6).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supplier making out a long-term supplier’s declaration shall keep for at least three years copies of the declaration and of all the invoices, delivery notes or other commercial documents concerning goods covered by such declaration sent to the customer concerned, as well as the documents referred to in Article 5(6). This period shall begin from the date of expiry of validity of the long-term supplier’s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lastRenderedPageBreak/>
        <w:t>Article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Administrative cooperation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In order to ensure the proper application of this Annex, the European Union and Tunisia shall assist each other, through the competent customs authorities, in checking the authenticity of the movement certificates EUR.1, the origin declarations or the supplier</w:t>
      </w:r>
      <w:r>
        <w:rPr>
          <w:rFonts w:ascii="Times New Roman" w:eastAsia="Times New Roman" w:hAnsi="Times New Roman" w:cs="Times New Roman"/>
          <w:noProof/>
          <w:color w:val="444444"/>
          <w:sz w:val="24"/>
          <w:szCs w:val="24"/>
          <w:lang w:eastAsia="x-none"/>
        </w:rPr>
        <w:t>’s declarations and the correctness of the information given in these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Verification of 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Subsequent verifications of supplier</w:t>
      </w:r>
      <w:r>
        <w:rPr>
          <w:rFonts w:ascii="Times New Roman" w:eastAsia="Times New Roman" w:hAnsi="Times New Roman" w:cs="Times New Roman"/>
          <w:noProof/>
          <w:color w:val="444444"/>
          <w:sz w:val="24"/>
          <w:szCs w:val="24"/>
          <w:lang w:eastAsia="x-none"/>
        </w:rPr>
        <w:t>’s declarations or long-term supplier’s declarations may be carried out at random or whenever the customs authorities of the country where such declarations have been taken into account to issue a movement certificate EUR.1 or to make out an origin declaration, have reasonable doubts as to the authenticity of the document or the correctness of the information given in this document.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For the purposes of implementing the provisions of paragraph 1, the customs authorities of the country referred to in paragraph 1 shall return the supplier’s declaration or the long-term supplier’s declaration and invoices, delivery notes or other commercial documents concerning goods covered by such declaration, to the customs authorities of the country where the declaration was made out, giving, where appropriate, the reasons of substance or form of the request for verification.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They shall forward, in support of the request for subsequent verification, any documents and information that have been obtained suggesting that the information given in the supplier’s declaration or the long-term supplier’s declaration is incorrect.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The verification shall be carried out by the customs authorities of the country where the supplier’s declaration or the long-term supplier’s declaration was made out. For this purpose, they shall have the right to call for any evidence and carry out any inspection of the supplier’s accounts or any other check which they consider appropriate.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The customs authorities requesting the verification shall be informed of the results thereof as soon as possible. These results shall indicate clearly whether the information given in the supplier’s declaration or the long-term supplier’s declaration is correct and make it possible for them to determine whether and to what extent such declaration could be taken into account for issuing a movement certificate EUR.1 or for making out an origin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Sanctions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Penalties shall be imposed on any person who draws up, or causes to be drawn up, a document which contains incorrect information for the purpose of obtaining a preferential treatment for products.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Free zones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The European Union and Tunisia shall take all necessary steps to ensure that products traded under cover of a proof of origin, which in the course of transport use a free zone situated in their territory, are not substituted by other goods and do not undergo handling other than normal operations designed to prevent their deterioration.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2.   By way of derogation from paragraph 1, when products originating in the European Union or Tunisia are imported into a free zone under cover of a proof of origin and undergo treatment or processing, the authorities concerned shall issue a new movement certificate EUR.1 at the </w:t>
      </w:r>
      <w:r>
        <w:rPr>
          <w:rFonts w:ascii="Times New Roman" w:hAnsi="Times New Roman" w:cs="Times New Roman"/>
          <w:noProof/>
          <w:color w:val="444444"/>
          <w:sz w:val="24"/>
          <w:szCs w:val="24"/>
          <w:lang w:eastAsia="x-none"/>
        </w:rPr>
        <w:lastRenderedPageBreak/>
        <w:t>exporter</w:t>
      </w:r>
      <w:r>
        <w:rPr>
          <w:rFonts w:ascii="Times New Roman" w:eastAsia="Times New Roman" w:hAnsi="Times New Roman" w:cs="Times New Roman"/>
          <w:noProof/>
          <w:color w:val="444444"/>
          <w:sz w:val="24"/>
          <w:szCs w:val="24"/>
          <w:lang w:eastAsia="x-none"/>
        </w:rPr>
        <w:t>’s request, if the treatment or processing undergone complies with the provisions of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V</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Ceuta and Melilla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Application of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1.   The term </w:t>
      </w:r>
      <w:r>
        <w:rPr>
          <w:rFonts w:ascii="Times New Roman" w:eastAsia="Times New Roman" w:hAnsi="Times New Roman" w:cs="Times New Roman"/>
          <w:noProof/>
          <w:color w:val="444444"/>
          <w:sz w:val="24"/>
          <w:szCs w:val="24"/>
          <w:lang w:eastAsia="x-none"/>
        </w:rPr>
        <w:t>‘European Union’ shall not cover Ceuta and Melilla.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Products originating in a Contracting Party other than the European Union, when imported into Ceuta or Melilla, shall enjoy in all respects the same customs regime as that which is applied to products originating in the customs territory of the European Union under Protocol 2 of the Act of Accession of the Kingdom of Spain and the Portuguese Republic to the European Communities. The Contracting Parties other than the European Union shall grant to imports of products covered by the relevant Agreement and originating in Ceuta and Melilla the same customs regime as that which is granted to products imported from and originating in the European Union.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For the purpose of the application of paragraph 2 concerning products originating in Ceuta and Melilla, this Convention shall apply </w:t>
      </w:r>
      <w:r>
        <w:rPr>
          <w:rFonts w:ascii="Times New Roman" w:hAnsi="Times New Roman" w:cs="Times New Roman"/>
          <w:i/>
          <w:iCs/>
          <w:noProof/>
          <w:color w:val="444444"/>
          <w:sz w:val="24"/>
          <w:szCs w:val="24"/>
          <w:lang w:eastAsia="x-none"/>
        </w:rPr>
        <w:t>mutatis mutandis</w:t>
      </w:r>
      <w:r>
        <w:rPr>
          <w:rFonts w:ascii="Times New Roman" w:hAnsi="Times New Roman" w:cs="Times New Roman"/>
          <w:noProof/>
          <w:color w:val="444444"/>
          <w:sz w:val="24"/>
          <w:szCs w:val="24"/>
          <w:lang w:eastAsia="x-none"/>
        </w:rPr>
        <w:t> subject to the special conditions set out in Article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Special conditions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Providing they have been transported directly in accordance with the provisions of Article 12 of Appendix I the following shall be considered as: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85"/>
        <w:gridCol w:w="8625"/>
      </w:tblGrid>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(1)</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products originating in Ceuta and Melilla:</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85"/>
              <w:gridCol w:w="246"/>
              <w:gridCol w:w="7873"/>
            </w:tblGrid>
            <w:tr w:rsidR="00D74962">
              <w:tc>
                <w:tcPr>
                  <w:tcW w:w="631"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w:t>
                  </w:r>
                </w:p>
              </w:tc>
              <w:tc>
                <w:tcPr>
                  <w:tcW w:w="787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products wholly obtained in Ceuta and Melilla;</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(b)</w:t>
                  </w:r>
                </w:p>
              </w:tc>
              <w:tc>
                <w:tcPr>
                  <w:tcW w:w="811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products obtained in Ceuta and Melilla in the manufacture of which products other than those referred to in (a) are used, provided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7599"/>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766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said products have undergone sufficient working or processing within the meaning of Article 5 of Appendix I; or that</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75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those products originate in the importing Contracting Party or in the European Union, provided that they have been submitted to working or processing which goes beyond the operations referred to in Article 6 of Appendix I.</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(2)</w:t>
            </w:r>
          </w:p>
        </w:tc>
        <w:tc>
          <w:tcPr>
            <w:tcW w:w="86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products originating in the exporting Contracting Party, other than the European Union:</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85"/>
              <w:gridCol w:w="115"/>
              <w:gridCol w:w="8004"/>
            </w:tblGrid>
            <w:tr w:rsidR="00D74962">
              <w:tc>
                <w:tcPr>
                  <w:tcW w:w="500"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w:t>
                  </w:r>
                </w:p>
              </w:tc>
              <w:tc>
                <w:tcPr>
                  <w:tcW w:w="800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products wholly obtained in the exporting Contracting Party;</w:t>
                  </w:r>
                </w:p>
              </w:tc>
            </w:tr>
            <w:tr w:rsidR="00D74962">
              <w:tc>
                <w:tcPr>
                  <w:tcW w:w="3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(b)</w:t>
                  </w:r>
                </w:p>
              </w:tc>
              <w:tc>
                <w:tcPr>
                  <w:tcW w:w="811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products obtained in the exporting Contracting Party, in the manufacture of which products other than those referred to in (a) are used, provided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7599"/>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7666"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said products have undergone sufficient working or processing within the meaning of Article 5 of Appendix I; or that</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(ii)</w:t>
                        </w:r>
                      </w:p>
                    </w:tc>
                    <w:tc>
                      <w:tcPr>
                        <w:tcW w:w="75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those products originate in Ceuta and Melilla or in the European Union, provided that they have been submitted to working or processing which goes beyond the operations referred to in Article 6 of Appendix I.</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bl>
          <w:p w:rsidR="00D74962" w:rsidRDefault="00D74962">
            <w:pPr>
              <w:widowControl w:val="0"/>
              <w:spacing w:after="0" w:line="240" w:lineRule="auto"/>
              <w:rPr>
                <w:rFonts w:ascii="Times New Roman" w:hAnsi="Times New Roman" w:cs="Times New Roman"/>
                <w:noProof/>
                <w:sz w:val="24"/>
                <w:szCs w:val="24"/>
                <w:lang w:eastAsia="x-none"/>
              </w:rPr>
            </w:pP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Ceuta and Melilla shall be considered as a single territory.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 xml:space="preserve">3.   The exporter or his authorised representative shall enter the name of the exporting or importing Contracting Party and </w:t>
      </w:r>
      <w:r>
        <w:rPr>
          <w:rFonts w:ascii="Times New Roman" w:eastAsia="Times New Roman" w:hAnsi="Times New Roman" w:cs="Times New Roman"/>
          <w:noProof/>
          <w:color w:val="444444"/>
          <w:sz w:val="24"/>
          <w:szCs w:val="24"/>
          <w:lang w:eastAsia="x-none"/>
        </w:rPr>
        <w:t>‘Ceuta and Melilla’ in Box 2 of movement certificates EUR.1 or EUR-MED or on origin declarations or on origin declarations EUR-MED. In addition, in the case of products originating in Ceuta and Melilla, this shall be indicated in Box 4 of movement certificates EUR.1 or EUR-MED or on origin declarations or on origin declarations EUR-MED.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The Spanish customs authorities shall be responsible for the application of this Convention in Ceuta and Melilla.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VI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JOINT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concerning the Principality of Andorra</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85"/>
        <w:gridCol w:w="8725"/>
      </w:tblGrid>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1.</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Products originating in the Principality of Andorra falling within Chapters 25 to 97 of the Harmonised System shall be accepted by the Contracting Parties other than the European Union as originating in the European Union within the meaning of this Convention.</w:t>
            </w: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2.</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Convention shall apply </w:t>
            </w:r>
            <w:r>
              <w:rPr>
                <w:rFonts w:ascii="Times New Roman" w:hAnsi="Times New Roman" w:cs="Times New Roman"/>
                <w:i/>
                <w:iCs/>
                <w:noProof/>
                <w:sz w:val="24"/>
                <w:szCs w:val="24"/>
                <w:lang w:eastAsia="x-none"/>
              </w:rPr>
              <w:t>mutatis mutandis</w:t>
            </w:r>
            <w:r>
              <w:rPr>
                <w:rFonts w:ascii="Times New Roman" w:hAnsi="Times New Roman" w:cs="Times New Roman"/>
                <w:noProof/>
                <w:sz w:val="24"/>
                <w:szCs w:val="24"/>
                <w:lang w:eastAsia="x-none"/>
              </w:rPr>
              <w:t> for the purpose of defining the originating status of the abovementioned products.</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VII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JOINT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concerning the Republic of San Marino</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85"/>
        <w:gridCol w:w="8725"/>
      </w:tblGrid>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1.</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Products originating in the Republic of San Marino shall be accepted by the Contracting Parties other than the European Union as originating in the European Union within the meaning of this Convention.</w:t>
            </w: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2.</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Convention shall apply </w:t>
            </w:r>
            <w:r>
              <w:rPr>
                <w:rFonts w:ascii="Times New Roman" w:hAnsi="Times New Roman" w:cs="Times New Roman"/>
                <w:i/>
                <w:iCs/>
                <w:noProof/>
                <w:sz w:val="24"/>
                <w:szCs w:val="24"/>
                <w:lang w:eastAsia="x-none"/>
              </w:rPr>
              <w:t>mutatis mutandis</w:t>
            </w:r>
            <w:r>
              <w:rPr>
                <w:rFonts w:ascii="Times New Roman" w:hAnsi="Times New Roman" w:cs="Times New Roman"/>
                <w:noProof/>
                <w:sz w:val="24"/>
                <w:szCs w:val="24"/>
                <w:lang w:eastAsia="x-none"/>
              </w:rPr>
              <w:t> for the purpose of defining the originating status of the abovementioned products.</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VIII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Trade between the Republic of Turkey and the participants in the European Union</w:t>
      </w:r>
      <w:r>
        <w:rPr>
          <w:rFonts w:ascii="Times New Roman" w:eastAsia="Times New Roman" w:hAnsi="Times New Roman" w:cs="Times New Roman"/>
          <w:b/>
          <w:bCs/>
          <w:noProof/>
          <w:color w:val="444444"/>
          <w:sz w:val="24"/>
          <w:szCs w:val="24"/>
          <w:lang w:eastAsia="x-none"/>
        </w:rPr>
        <w:t>’s Stabilisation and Association Process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products listed below shall be excluded from cumulation provided for in Article 3 of Appendix I, if:</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72"/>
        <w:gridCol w:w="13"/>
        <w:gridCol w:w="1157"/>
        <w:gridCol w:w="7468"/>
      </w:tblGrid>
      <w:tr w:rsidR="00D74962">
        <w:tc>
          <w:tcPr>
            <w:tcW w:w="37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w:t>
            </w:r>
          </w:p>
        </w:tc>
        <w:tc>
          <w:tcPr>
            <w:tcW w:w="8638"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country of final destination is the Republic of Turkey,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8118"/>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(i)</w:t>
                  </w:r>
                </w:p>
              </w:tc>
              <w:tc>
                <w:tcPr>
                  <w:tcW w:w="81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hAnsi="Times New Roman" w:cs="Times New Roman"/>
                      <w:noProof/>
                      <w:sz w:val="24"/>
                      <w:szCs w:val="24"/>
                      <w:lang w:eastAsia="x-none"/>
                    </w:rPr>
                    <w:t>the materials used in the manufacture of these products are originating in any of the participants in the European Union</w:t>
                  </w:r>
                  <w:r>
                    <w:rPr>
                      <w:rFonts w:ascii="Times New Roman" w:eastAsia="Times New Roman" w:hAnsi="Times New Roman" w:cs="Times New Roman"/>
                      <w:noProof/>
                      <w:sz w:val="24"/>
                      <w:szCs w:val="24"/>
                      <w:lang w:eastAsia="x-none"/>
                    </w:rPr>
                    <w:t>’s Stabilisation and Association Process;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(ii)</w:t>
                  </w:r>
                </w:p>
              </w:tc>
              <w:tc>
                <w:tcPr>
                  <w:tcW w:w="811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these products have acquired their origin on the basis of working or processing carried out in any of the participants in the European Union’s Stabilisation and Association Process; or</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r>
      <w:tr w:rsidR="00D74962">
        <w:tc>
          <w:tcPr>
            <w:tcW w:w="38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(b)</w:t>
            </w:r>
          </w:p>
        </w:tc>
        <w:tc>
          <w:tcPr>
            <w:tcW w:w="86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country of final destination is any of the participants in the European Union’s Stabilisation and Association Process, and:</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32"/>
              <w:gridCol w:w="67"/>
              <w:gridCol w:w="8105"/>
            </w:tblGrid>
            <w:tr w:rsidR="00D74962">
              <w:tc>
                <w:tcPr>
                  <w:tcW w:w="33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w:t>
                  </w:r>
                </w:p>
              </w:tc>
              <w:tc>
                <w:tcPr>
                  <w:tcW w:w="8172"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 materials used in the manufacture of these products are originating in the Republic of Turkey; or</w:t>
                  </w:r>
                </w:p>
              </w:tc>
            </w:tr>
            <w:tr w:rsidR="00D74962">
              <w:tc>
                <w:tcPr>
                  <w:tcW w:w="399"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(ii)</w:t>
                  </w:r>
                </w:p>
              </w:tc>
              <w:tc>
                <w:tcPr>
                  <w:tcW w:w="810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these products have acquired their origin on the basis of working or processing carried out in the Republic of Turkey.</w:t>
                  </w:r>
                </w:p>
              </w:tc>
            </w:tr>
          </w:tbl>
          <w:p w:rsidR="00D74962" w:rsidRDefault="00D74962">
            <w:pPr>
              <w:widowControl w:val="0"/>
              <w:spacing w:after="0" w:line="240" w:lineRule="auto"/>
              <w:rPr>
                <w:rFonts w:ascii="Times New Roman" w:eastAsia="Times New Roman" w:hAnsi="Times New Roman" w:cs="Times New Roman"/>
                <w:noProof/>
                <w:sz w:val="24"/>
                <w:szCs w:val="24"/>
                <w:lang w:eastAsia="x-none"/>
              </w:rPr>
            </w:pPr>
          </w:p>
        </w:tc>
      </w:tr>
      <w:tr w:rsidR="00D74962">
        <w:tc>
          <w:tcPr>
            <w:tcW w:w="154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lastRenderedPageBreak/>
              <w:t>CN-Code</w:t>
            </w:r>
          </w:p>
        </w:tc>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w:t>
            </w:r>
          </w:p>
        </w:tc>
      </w:tr>
      <w:tr w:rsidR="00D74962">
        <w:tc>
          <w:tcPr>
            <w:tcW w:w="154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lang w:eastAsia="x-none"/>
              </w:rPr>
            </w:pPr>
            <w:r>
              <w:rPr>
                <w:rFonts w:ascii="Times New Roman" w:hAnsi="Times New Roman" w:cs="Times New Roman"/>
                <w:noProof/>
                <w:lang w:eastAsia="x-none"/>
              </w:rPr>
              <w:t>1704 90 99</w:t>
            </w:r>
          </w:p>
        </w:tc>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Other sugar confectionery, not containing cocoa.</w:t>
            </w:r>
          </w:p>
        </w:tc>
      </w:tr>
      <w:tr w:rsidR="00D74962">
        <w:tc>
          <w:tcPr>
            <w:tcW w:w="154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lang w:eastAsia="x-none"/>
              </w:rPr>
            </w:pPr>
            <w:r>
              <w:rPr>
                <w:rFonts w:ascii="Times New Roman" w:hAnsi="Times New Roman" w:cs="Times New Roman"/>
                <w:noProof/>
                <w:lang w:eastAsia="x-none"/>
              </w:rPr>
              <w:t>1806 10 30</w:t>
            </w:r>
          </w:p>
        </w:tc>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Chocolate and other food preparations containing cocoa</w:t>
            </w:r>
          </w:p>
        </w:tc>
      </w:tr>
      <w:tr w:rsidR="00D74962">
        <w:tblPrEx>
          <w:tblCellMar>
            <w:bottom w:w="0" w:type="dxa"/>
          </w:tblCellMar>
        </w:tblPrEx>
        <w:tc>
          <w:tcPr>
            <w:tcW w:w="154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lang w:eastAsia="x-none"/>
              </w:rPr>
            </w:pPr>
            <w:r>
              <w:rPr>
                <w:rFonts w:ascii="Times New Roman" w:hAnsi="Times New Roman" w:cs="Times New Roman"/>
                <w:noProof/>
                <w:lang w:eastAsia="x-none"/>
              </w:rPr>
              <w:t>1806 10 90</w:t>
            </w:r>
          </w:p>
        </w:tc>
        <w:tc>
          <w:tcPr>
            <w:tcW w:w="7468" w:type="dxa"/>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7468"/>
            </w:tblGrid>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Cocoa powder, containing added sugar or sweetening matter:</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Containing 65 % or more but less than 80 % by weight of sucrose (including invert sugar expressed as sucrose) or isoglucose expressed as sucrose</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Containing 80 % or more by weight of sucrose (including invert sugar expressed as sucrose) or isoglucose expressed as sucrose</w:t>
                  </w:r>
                </w:p>
              </w:tc>
            </w:tr>
          </w:tbl>
          <w:p w:rsidR="00D74962" w:rsidRDefault="00D74962">
            <w:pPr>
              <w:widowControl w:val="0"/>
              <w:spacing w:after="0" w:line="240" w:lineRule="auto"/>
              <w:rPr>
                <w:rFonts w:ascii="Times New Roman" w:eastAsia="Times New Roman" w:hAnsi="Times New Roman" w:cs="Times New Roman"/>
                <w:noProof/>
                <w:lang w:eastAsia="x-none"/>
              </w:rPr>
            </w:pPr>
          </w:p>
        </w:tc>
      </w:tr>
      <w:tr w:rsidR="00D74962">
        <w:tblPrEx>
          <w:tblCellMar>
            <w:bottom w:w="0" w:type="dxa"/>
          </w:tblCellMar>
        </w:tblPrEx>
        <w:tc>
          <w:tcPr>
            <w:tcW w:w="154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lang w:eastAsia="x-none"/>
              </w:rPr>
            </w:pPr>
            <w:r>
              <w:rPr>
                <w:rFonts w:ascii="Times New Roman" w:hAnsi="Times New Roman" w:cs="Times New Roman"/>
                <w:noProof/>
                <w:lang w:eastAsia="x-none"/>
              </w:rPr>
              <w:t>1806 20 95</w:t>
            </w:r>
          </w:p>
        </w:tc>
        <w:tc>
          <w:tcPr>
            <w:tcW w:w="7468" w:type="dxa"/>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7468"/>
            </w:tblGrid>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Other food preparations containing cocoa in block, slabs or bars weighing more than 2 kg or in liquid, paste, powder, granular or other bulk form in containers or immediate packaging of a content exceeding 2 kg</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Other</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Other</w:t>
                  </w:r>
                </w:p>
              </w:tc>
            </w:tr>
          </w:tbl>
          <w:p w:rsidR="00D74962" w:rsidRDefault="00D74962">
            <w:pPr>
              <w:widowControl w:val="0"/>
              <w:spacing w:after="0" w:line="240" w:lineRule="auto"/>
              <w:rPr>
                <w:rFonts w:ascii="Times New Roman" w:eastAsia="Times New Roman" w:hAnsi="Times New Roman" w:cs="Times New Roman"/>
                <w:noProof/>
                <w:lang w:eastAsia="x-none"/>
              </w:rPr>
            </w:pPr>
          </w:p>
        </w:tc>
      </w:tr>
      <w:tr w:rsidR="00D74962">
        <w:tblPrEx>
          <w:tblCellMar>
            <w:bottom w:w="0" w:type="dxa"/>
          </w:tblCellMar>
        </w:tblPrEx>
        <w:tc>
          <w:tcPr>
            <w:tcW w:w="154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1901 90 99</w:t>
            </w:r>
          </w:p>
        </w:tc>
        <w:tc>
          <w:tcPr>
            <w:tcW w:w="7468" w:type="dxa"/>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7468"/>
            </w:tblGrid>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Malt extract, food preparations of flour, groats, meal, starch or malt extract, not containing cocoa or containing less than 40 % by weight of cocoa calculated on a totally defatted basis, not elsewhere specified or included, food preparations of goods of headings 0401 to 0404, not containing cocoa or containing less than 5 % by weight of cocoa calculated on a totally defatted basis, not elsewhere specified or included</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Other</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Other (than malt extract)</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Other</w:t>
                  </w:r>
                </w:p>
              </w:tc>
            </w:tr>
          </w:tbl>
          <w:p w:rsidR="00D74962" w:rsidRDefault="00D74962">
            <w:pPr>
              <w:widowControl w:val="0"/>
              <w:spacing w:after="0" w:line="240" w:lineRule="auto"/>
              <w:rPr>
                <w:rFonts w:ascii="Times New Roman" w:eastAsia="Times New Roman" w:hAnsi="Times New Roman" w:cs="Times New Roman"/>
                <w:noProof/>
                <w:lang w:eastAsia="x-none"/>
              </w:rPr>
            </w:pPr>
          </w:p>
        </w:tc>
      </w:tr>
      <w:tr w:rsidR="00D74962">
        <w:tc>
          <w:tcPr>
            <w:tcW w:w="154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2101 12 98</w:t>
            </w:r>
          </w:p>
        </w:tc>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Other preparations with a basis of coffee</w:t>
            </w:r>
          </w:p>
        </w:tc>
      </w:tr>
      <w:tr w:rsidR="00D74962">
        <w:tc>
          <w:tcPr>
            <w:tcW w:w="154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2101 20 98</w:t>
            </w:r>
          </w:p>
        </w:tc>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Other preparations with a basis of tea or mate</w:t>
            </w:r>
          </w:p>
        </w:tc>
      </w:tr>
      <w:tr w:rsidR="00D74962">
        <w:tblPrEx>
          <w:tblCellMar>
            <w:bottom w:w="0" w:type="dxa"/>
          </w:tblCellMar>
        </w:tblPrEx>
        <w:tc>
          <w:tcPr>
            <w:tcW w:w="154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noProof/>
                <w:lang w:eastAsia="x-none"/>
              </w:rPr>
            </w:pPr>
            <w:r>
              <w:rPr>
                <w:rFonts w:ascii="Times New Roman" w:eastAsia="Times New Roman" w:hAnsi="Times New Roman" w:cs="Times New Roman"/>
                <w:noProof/>
                <w:lang w:eastAsia="x-none"/>
              </w:rPr>
              <w:t>2106 90 59</w:t>
            </w:r>
            <w:hyperlink r:id="rId125" w:anchor="ntr1-L_2013054EN.01013501-E0001" w:history="1">
              <w:r>
                <w:rPr>
                  <w:rFonts w:ascii="Times New Roman" w:hAnsi="Times New Roman" w:cs="Times New Roman"/>
                  <w:noProof/>
                  <w:color w:val="800080"/>
                  <w:lang w:eastAsia="x-none"/>
                </w:rPr>
                <w:t> (</w:t>
              </w:r>
              <w:r>
                <w:rPr>
                  <w:rFonts w:ascii="Times New Roman" w:hAnsi="Times New Roman" w:cs="Times New Roman"/>
                  <w:noProof/>
                  <w:color w:val="800080"/>
                  <w:position w:val="3"/>
                  <w:sz w:val="15"/>
                  <w:szCs w:val="15"/>
                  <w:lang w:eastAsia="x-none"/>
                </w:rPr>
                <w:t>1</w:t>
              </w:r>
              <w:r>
                <w:rPr>
                  <w:rFonts w:ascii="Times New Roman" w:hAnsi="Times New Roman" w:cs="Times New Roman"/>
                  <w:noProof/>
                  <w:color w:val="800080"/>
                  <w:lang w:eastAsia="x-none"/>
                </w:rPr>
                <w:t>)</w:t>
              </w:r>
            </w:hyperlink>
          </w:p>
        </w:tc>
        <w:tc>
          <w:tcPr>
            <w:tcW w:w="7468" w:type="dxa"/>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7468"/>
            </w:tblGrid>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Food preparations not elsewhere specified or included</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Other</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Other</w:t>
                  </w:r>
                </w:p>
              </w:tc>
            </w:tr>
          </w:tbl>
          <w:p w:rsidR="00D74962" w:rsidRDefault="00D74962">
            <w:pPr>
              <w:widowControl w:val="0"/>
              <w:spacing w:after="0" w:line="240" w:lineRule="auto"/>
              <w:rPr>
                <w:rFonts w:ascii="Times New Roman" w:eastAsia="Times New Roman" w:hAnsi="Times New Roman" w:cs="Times New Roman"/>
                <w:noProof/>
                <w:lang w:eastAsia="x-none"/>
              </w:rPr>
            </w:pPr>
          </w:p>
        </w:tc>
      </w:tr>
      <w:tr w:rsidR="00D74962">
        <w:tblPrEx>
          <w:tblCellMar>
            <w:bottom w:w="0" w:type="dxa"/>
          </w:tblCellMar>
        </w:tblPrEx>
        <w:tc>
          <w:tcPr>
            <w:tcW w:w="154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2106 90 98</w:t>
            </w:r>
          </w:p>
        </w:tc>
        <w:tc>
          <w:tcPr>
            <w:tcW w:w="7468" w:type="dxa"/>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7468"/>
            </w:tblGrid>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Food preparations not elsewhere specified or included:</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Other (than protein concentrates and textured protein substances)</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Other</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Other</w:t>
                  </w:r>
                </w:p>
              </w:tc>
            </w:tr>
          </w:tbl>
          <w:p w:rsidR="00D74962" w:rsidRDefault="00D74962">
            <w:pPr>
              <w:widowControl w:val="0"/>
              <w:spacing w:after="0" w:line="240" w:lineRule="auto"/>
              <w:rPr>
                <w:rFonts w:ascii="Times New Roman" w:eastAsia="Times New Roman" w:hAnsi="Times New Roman" w:cs="Times New Roman"/>
                <w:noProof/>
                <w:lang w:eastAsia="x-none"/>
              </w:rPr>
            </w:pPr>
          </w:p>
        </w:tc>
      </w:tr>
      <w:tr w:rsidR="00D74962">
        <w:tblPrEx>
          <w:tblCellMar>
            <w:bottom w:w="0" w:type="dxa"/>
          </w:tblCellMar>
        </w:tblPrEx>
        <w:tc>
          <w:tcPr>
            <w:tcW w:w="1542"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3302 10 29</w:t>
            </w:r>
          </w:p>
        </w:tc>
        <w:tc>
          <w:tcPr>
            <w:tcW w:w="7468" w:type="dxa"/>
            <w:tcBorders>
              <w:top w:val="nil"/>
              <w:left w:val="nil"/>
              <w:bottom w:val="nil"/>
              <w:right w:val="nil"/>
            </w:tcBorders>
            <w:tcMar>
              <w:top w:w="0" w:type="dxa"/>
              <w:left w:w="0" w:type="dxa"/>
              <w:right w:w="0" w:type="dxa"/>
            </w:tcMar>
          </w:tcPr>
          <w:tbl>
            <w:tblPr>
              <w:tblW w:w="0" w:type="auto"/>
              <w:tblLayout w:type="fixed"/>
              <w:tblCellMar>
                <w:top w:w="30" w:type="dxa"/>
                <w:left w:w="75" w:type="dxa"/>
                <w:bottom w:w="30" w:type="dxa"/>
                <w:right w:w="30" w:type="dxa"/>
              </w:tblCellMar>
              <w:tblLook w:val="0000" w:firstRow="0" w:lastRow="0" w:firstColumn="0" w:lastColumn="0" w:noHBand="0" w:noVBand="0"/>
            </w:tblPr>
            <w:tblGrid>
              <w:gridCol w:w="7468"/>
            </w:tblGrid>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Mixtures of odoriferous substances and mixtures (including alcoholic solutions) with a basis of one or more of these substances, of a kind used as raw materials in industry; other preparations based on odoriferous substances, of a kind used for the manufacture of beverages:</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Of a kind used in the food or drink industries</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Of the type used in the drink industries:</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Preparations containing all flavouring agents characterizing a beverage:</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 Of an actual alcoholic strength by volume exceeding 0.5 %</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lastRenderedPageBreak/>
                    <w:t>– – – – Other:</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 – Containing no milkfats, sucrose, isoglucose, glucose, or starch or containing, by weight, less than 1.5 % milkfat, 5 % sucrose or isoglucose, 5 % glucose or starch</w:t>
                  </w:r>
                </w:p>
              </w:tc>
            </w:tr>
            <w:tr w:rsidR="00D74962">
              <w:tc>
                <w:tcPr>
                  <w:tcW w:w="746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eastAsia="Times New Roman" w:hAnsi="Times New Roman" w:cs="Times New Roman"/>
                      <w:noProof/>
                      <w:lang w:eastAsia="x-none"/>
                    </w:rPr>
                  </w:pPr>
                  <w:r>
                    <w:rPr>
                      <w:rFonts w:ascii="Times New Roman" w:eastAsia="Times New Roman" w:hAnsi="Times New Roman" w:cs="Times New Roman"/>
                      <w:noProof/>
                      <w:lang w:eastAsia="x-none"/>
                    </w:rPr>
                    <w:t>– – – – – Other</w:t>
                  </w:r>
                </w:p>
              </w:tc>
            </w:tr>
          </w:tbl>
          <w:p w:rsidR="00D74962" w:rsidRDefault="00D74962">
            <w:pPr>
              <w:widowControl w:val="0"/>
              <w:spacing w:after="0" w:line="240" w:lineRule="auto"/>
              <w:rPr>
                <w:rFonts w:ascii="Times New Roman" w:eastAsia="Times New Roman" w:hAnsi="Times New Roman" w:cs="Times New Roman"/>
                <w:noProof/>
                <w:lang w:eastAsia="x-none"/>
              </w:rPr>
            </w:pP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26" w:anchor="ntc1-L_2013054EN.01013501-E0001"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1</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This product shall not be excluded from cumulation referred to in Article 1 of this Annex in preferential trade between the Republic of Turkey and the former Yugoslav Republic of Macedonia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IX</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Trade between the Republic of Turkey and the Kingdom of Morocco</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having acquired their origin by application of the provisions foreseen in this Annex shall be excluded from cumulation as referred to in Article 3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Cumulation in Turkey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 of implementing Article 2(1)(b) of Appendix I, working or processing carried out in Algeria, Morocco or Tunisia shall be considered as having been carried out in Turkey when the products obtained undergo subsequent working or processing in Turkey. Where, pursuant to this provision, the originating products are obtained in two or more of the countries concerned, they shall be considered as originating in Turkey only if the working or processing goes beyond the operations referred to in Article 6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Cumulation in Morocco</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 of implementing Article 2(1)(b) of Appendix I, working or processing carried out in Algeria, Tunisia or Turkey shall be considered as having been carried out in Morocco when the products obtained undergo subsequent working or processing in Morocco. Where, pursuant to this provision, the originating products are obtained in two or more of the countries concerned, they shall be considered as originating in Morocco only if the working or processing goes beyond the operations referred to in Article 6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Proofs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Without prejudice to Article 16(4) and (5) of Appendix I, a movement certificate EUR.1 shall be issued by the customs authorities of Turkey or of Morocco if the products concerned can be considered as products originating in Turkey or in Morocco, with application of the cumulation referred to in Articles 2 and 3 of this Annex,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Without prejudice to Article 21(2) and (3) of Appendix I, an origin declaration may be made out if the products concerned can be considered as products originating in Turkey or in Morocco, with application of the cumulation referred to in Articles 2 and 3 of this Annex,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1.   When a movement certificate EUR.1 is issued, or an origin declaration is made out, in Turkey or Morocco for originating products, in the manufacture of which goods coming from Algeria, Morocco, Tunisia or Turkey which have undergone working or processing in these countries </w:t>
      </w:r>
      <w:r>
        <w:rPr>
          <w:rFonts w:ascii="Times New Roman" w:hAnsi="Times New Roman" w:cs="Times New Roman"/>
          <w:noProof/>
          <w:color w:val="444444"/>
          <w:sz w:val="24"/>
          <w:szCs w:val="24"/>
          <w:lang w:eastAsia="x-none"/>
        </w:rPr>
        <w:lastRenderedPageBreak/>
        <w:t>without having obtained preferential originating status, have been used, account shall be taken of the supplier</w:t>
      </w:r>
      <w:r>
        <w:rPr>
          <w:rFonts w:ascii="Times New Roman" w:eastAsia="Times New Roman" w:hAnsi="Times New Roman" w:cs="Times New Roman"/>
          <w:noProof/>
          <w:color w:val="444444"/>
          <w:sz w:val="24"/>
          <w:szCs w:val="24"/>
          <w:lang w:eastAsia="x-none"/>
        </w:rPr>
        <w:t>’s declaration given for those goods in accordance with this Article.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The supplier’s declaration referred to in paragraph 1 shall serve as evidence of the working or processing undergone in Algeria, Morocco, Tunisia or Turkey by the goods concerned for the purpose of determining whether the products in the manufacture of which these goods are used, may be considered as products originating in Turkey or Morocco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A separate supplier’s declaration shall, except in the cases provided in paragraph 4, be made out by the supplier for each consignment of goods in the form prescribed in Annex C on a sheet of paper annexed to the invoice, the delivery note or any other commercial document describing the goods concerned in sufficient detail to enable them to be identified.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Where a supplier regularly supplies a particular customer with goods for which the working or processing undergone in Algeria, Morocco, Tunisia or Turkey is expected to remain constant for considerable periods of time, he may provide a single supplier’s declaration to cover subsequent consignments of those goods (hereinafter referred to as a ‘long-term supplier’s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A long-term supplier’s declaration may normally be valid for a period of up to one year from the date of making out the declaration. The customs authorities of the country where the declaration is made out lay down the conditions under which longer periods may be used.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long-term supplier’s declaration shall be made out by the supplier in the form prescribed in Annex D and shall describe the goods concerned in sufficient detail to enable them to be identified. It shall be provided to the customer concerned before he is supplied with the first consignment of goods covered by that declaration or together with his first consignment.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supplier shall inform his customer immediately if the long-term supplier’s declaration is no longer applicable to the goods supplied.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5.   The supplier’s declarations referred to in paragraphs 3 and 4 shall be typed or printed using one of the languages in which the Agreement is drawn up, in accordance with the provisions of the national law of the country where the declaration is made out, and shall bear the original signature of the supplier in manuscript. The declaration may also be handwritten; in such a case, it shall be written in ink in printed characters.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6.   The supplier making out a declaration shall be prepared to submit at any time, at the request of the customs authorities of the country where the declaration is made out, all appropriate documents proving that the information given on that declaration is correct.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Supporting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Supplier</w:t>
      </w:r>
      <w:r>
        <w:rPr>
          <w:rFonts w:ascii="Times New Roman" w:eastAsia="Times New Roman" w:hAnsi="Times New Roman" w:cs="Times New Roman"/>
          <w:noProof/>
          <w:color w:val="444444"/>
          <w:sz w:val="24"/>
          <w:szCs w:val="24"/>
          <w:lang w:eastAsia="x-none"/>
        </w:rPr>
        <w:t>’s declarations proving the working or processing undergone in Algeria, Morocco, Tunisia or Turkey by materials used, made out in one of these countries, shall be treated as a document referred to in Articles 16(3) and 21(5) of Appendix I and Article 5(6) of this Annex used for the purpose of proving that products covered by a movement certificate EUR.1 or an origin declaration may be considered as products originating in Turkey or in Morocco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Preservation of 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The supplier making out a supplier</w:t>
      </w:r>
      <w:r>
        <w:rPr>
          <w:rFonts w:ascii="Times New Roman" w:eastAsia="Times New Roman" w:hAnsi="Times New Roman" w:cs="Times New Roman"/>
          <w:noProof/>
          <w:color w:val="444444"/>
          <w:sz w:val="24"/>
          <w:szCs w:val="24"/>
          <w:lang w:eastAsia="x-none"/>
        </w:rPr>
        <w:t>’s declaration shall keep for at least three years copies of the declaration and of all the invoices, delivery notes or other commercial document to which this declaration is annexed as well as the documents referred to in Article 5(6).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supplier making out a long-term supplier’s declaration shall keep for at least three years copies of the declaration and of all the invoices, delivery notes or other commercial documents concerning goods covered by that declaration sent to the customer concerned, as well as the documents referred to in Article 5(6). This period shall begin from the date of expiry of validity of the long-term supplier’s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Administrative cooperation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In order to ensure the proper application of this Annex, Turkey and Morocco shall assist each other, through the competent customs authorities, in checking the authenticity of the movement certificates EUR.1, the origin declarations or the supplier</w:t>
      </w:r>
      <w:r>
        <w:rPr>
          <w:rFonts w:ascii="Times New Roman" w:eastAsia="Times New Roman" w:hAnsi="Times New Roman" w:cs="Times New Roman"/>
          <w:noProof/>
          <w:color w:val="444444"/>
          <w:sz w:val="24"/>
          <w:szCs w:val="24"/>
          <w:lang w:eastAsia="x-none"/>
        </w:rPr>
        <w:t>’s declarations and the correctness of the information given in these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Verification of 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Subsequent verifications of supplier</w:t>
      </w:r>
      <w:r>
        <w:rPr>
          <w:rFonts w:ascii="Times New Roman" w:eastAsia="Times New Roman" w:hAnsi="Times New Roman" w:cs="Times New Roman"/>
          <w:noProof/>
          <w:color w:val="444444"/>
          <w:sz w:val="24"/>
          <w:szCs w:val="24"/>
          <w:lang w:eastAsia="x-none"/>
        </w:rPr>
        <w:t>’s declarations or long-term supplier’s declarations may be carried out at random or whenever the customs authorities of the country where such declarations have been taken into account to issue a movement certificate EUR.1 or to make out an origin declaration, have reasonable doubts as to the authenticity of the document or the correctness of the information given in this document.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For the purposes of implementing the provisions of paragraph 1, the customs authorities of the country referred to in paragraph 1 shall return the supplier’s declaration or the long-term supplier’s declaration and invoices, delivery notes or other commercial documents concerning goods covered by such declaration, to the customs authorities of the country where the declaration was made out, giving, where appropriate, the reasons of substance or form of the request for verification.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They shall forward, in support of the request for subsequent verification, any documents and information that have been obtained suggesting that the information given in the supplier’s declaration or the long-term supplier’s declaration is incorrect.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3.   The verification shall be carried out by the customs authorities of the country where the supplier</w:t>
      </w:r>
      <w:r>
        <w:rPr>
          <w:rFonts w:ascii="Times New Roman" w:eastAsia="Times New Roman" w:hAnsi="Times New Roman" w:cs="Times New Roman"/>
          <w:noProof/>
          <w:color w:val="444444"/>
          <w:sz w:val="24"/>
          <w:szCs w:val="24"/>
          <w:lang w:eastAsia="x-none"/>
        </w:rPr>
        <w:t>’s declaration or the long-term supplier’s declaration was made out. For this purpose, they shall have the right to call for any evidence and carry out any inspection of the supplier’s accounts or any other check which they consider appropriate.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The customs authorities requesting the verification shall be informed of the results thereof as soon as possible. These results shall indicate clearly whether the information given in the supplier’s declaration or the long-term supplier’s declaration is correct and make it possible for them to determine whether and to what extent such declaration could be taken into account for issuing a movement certificate EUR.1 or for making out an origin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Sanctions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Penalties shall be imposed on any person who draws up, or causes to be drawn up, a document which contains incorrect information for the purpose of obtaining a preferential treatment for products.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lastRenderedPageBreak/>
        <w:t>Free zones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Turkey and Morocco shall take all necessary steps to ensure that products traded under cover of a proof of origin, which in the course of transport use a free zone situated in their territory, are not substituted by other goods and do not undergo handling other than normal operations designed to prevent their deterioration.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By way of derogation from paragraph 1, when products originating in Turkey or Morocco are imported into a free zone under cover of a proof of origin and undergo treatment or processing, the authorities concerned shall issue a new movement certificate EUR.1 at the exporter</w:t>
      </w:r>
      <w:r>
        <w:rPr>
          <w:rFonts w:ascii="Times New Roman" w:eastAsia="Times New Roman" w:hAnsi="Times New Roman" w:cs="Times New Roman"/>
          <w:noProof/>
          <w:color w:val="444444"/>
          <w:sz w:val="24"/>
          <w:szCs w:val="24"/>
          <w:lang w:eastAsia="x-none"/>
        </w:rPr>
        <w:t>’s request, if the treatment or processing undergone complies with the provisions of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X</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Trade between the Republic of Turkey and the Republic of Tunisia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having acquired their origin by application of the provisions foreseen in this Annex shall be excluded from cumulation as referred to in Article 3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Cumulation in Turkey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 of implementing Article 2(1)(b) of Appendix I, working or processing carried out in Algeria, Morocco or Tunisia shall be considered as having been carried out in Turkey when the products obtained undergo subsequent working or processing in Turkey. Where, pursuant to this provision, the originating products are obtained in two or more of the countries concerned, they shall be considered as originating in Turkey only if the working or processing goes beyond the operations referred to in Article 6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Cumulation in Tunisia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 of implementing Article 2(1)(b) of Appendix I, working or processing carried out in Turkey, Algeria or Morocco shall be considered as having been carried out in Tunisia when the products obtained undergo subsequent working or processing in Tunisia. Where, pursuant to this provision, the originating products are obtained in two or more of the countries concerned, they shall be considered as originating in Tunisia only if the working or processing goes beyond the operations referred to in Article 6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Proofs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Without prejudice to Article 16(4) and (5) of Appendix I, a movement certificate EUR.1 shall be issued by the customs authorities of Turkey or of Tunisia if the products concerned can be considered as products originating in Turkey or in Tunisia, with application of the cumulation referred to in Articles 2 and 3 of this Annex,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Without prejudice to Article 21(2) and (3) of Appendix I, an origin declaration may be made out if the products concerned may be considered as products originating in Turkey or in Tunisia, with application of the cumulation referred to in Articles 2 and 3 of this Annex,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1.   When a movement certificate EUR.1 is issued, or an origin declaration is made out, in Turkey or Tunisia for originating products, in the manufacture of which goods coming from Algeria, </w:t>
      </w:r>
      <w:r>
        <w:rPr>
          <w:rFonts w:ascii="Times New Roman" w:hAnsi="Times New Roman" w:cs="Times New Roman"/>
          <w:noProof/>
          <w:color w:val="444444"/>
          <w:sz w:val="24"/>
          <w:szCs w:val="24"/>
          <w:lang w:eastAsia="x-none"/>
        </w:rPr>
        <w:lastRenderedPageBreak/>
        <w:t>Morocco, Tunisia or Turkey which have undergone working or processing in these countries without having obtained preferential originating status, have been used, account shall be taken of the supplier</w:t>
      </w:r>
      <w:r>
        <w:rPr>
          <w:rFonts w:ascii="Times New Roman" w:eastAsia="Times New Roman" w:hAnsi="Times New Roman" w:cs="Times New Roman"/>
          <w:noProof/>
          <w:color w:val="444444"/>
          <w:sz w:val="24"/>
          <w:szCs w:val="24"/>
          <w:lang w:eastAsia="x-none"/>
        </w:rPr>
        <w:t>’s declaration given for those goods in accordance with this Article.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The supplier’s declaration referred to in paragraph 1 shall serve as evidence of the working or processing undergone in Algeria, Morocco, Tunisia or Turkey by the goods concerned for the purpose of determining whether the products in the manufacture of which these goods are used, can be considered as products originating in Turkey or Tunisia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A separate supplier’s declaration shall, except in the cases provided in paragraph 4, be made out by the supplier for each consignment of goods in the form prescribed in Annex C on a sheet of paper annexed to the invoice, the delivery note or any other commercial document describing the goods concerned in sufficient detail to enable them to be identified.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Where a supplier regularly supplies a particular customer with goods for which the working or processing undergone in Algeria, Morocco, Tunisia or Turkey is expected to remain constant for considerable periods of time, he may provide a single supplier’s declaration to cover subsequent consignments of those goods (hereinafter referred to as a ‘long-term supplier’s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A long-term supplier’s declaration may normally be valid for a period of up to one year from the date of making out the declaration. The customs authorities of the country where the declaration is made out lay down the conditions under which longer periods may be used.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long-term supplier’s declaration shall be made out by the supplier in the form prescribed in Annex D and shall describe the goods concerned in sufficient detail to enable them to be identified. It shall be provided to the customer concerned before he is supplied with the first consignment of goods covered by that declaration or together with his first consignment.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supplier shall inform his customer immediately if the long-term supplier’s declaration is no longer applicable to the goods supplied.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5.   The supplier’s declarations referred to in paragraphs 3 and 4 shall be typed or printed using one of the languages in which the Agreement is drawn up, in accordance with the provisions of the national law of the country where the declaration is made out, and shall bear the original signature of the supplier in manuscript. The declaration may also be handwritten; in such a case, it shall be written in ink in printed characters.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6.   The supplier making out a declaration shall be prepared to submit at any time, at the request of the customs authorities of the country where the declaration is made out, all appropriate documents proving that the information given on that declaration is correct.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Supporting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Supplier</w:t>
      </w:r>
      <w:r>
        <w:rPr>
          <w:rFonts w:ascii="Times New Roman" w:eastAsia="Times New Roman" w:hAnsi="Times New Roman" w:cs="Times New Roman"/>
          <w:noProof/>
          <w:color w:val="444444"/>
          <w:sz w:val="24"/>
          <w:szCs w:val="24"/>
          <w:lang w:eastAsia="x-none"/>
        </w:rPr>
        <w:t>’s declarations proving the working or processing undergone in Algeria, Morocco, Tunisia or Turkey by materials used, made out in one of these countries, shall be treated as a document referred to in Articles 16(3) and 21(5) of Appendix I and Article 5(6) of this Annex used for the purpose of proving that products covered by a movement certificate EUR.1 or an origin declaration may be considered as products originating in Turkey or in Tunisia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Preservation of 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The supplier making out a supplier</w:t>
      </w:r>
      <w:r>
        <w:rPr>
          <w:rFonts w:ascii="Times New Roman" w:eastAsia="Times New Roman" w:hAnsi="Times New Roman" w:cs="Times New Roman"/>
          <w:noProof/>
          <w:color w:val="444444"/>
          <w:sz w:val="24"/>
          <w:szCs w:val="24"/>
          <w:lang w:eastAsia="x-none"/>
        </w:rPr>
        <w:t>’s declaration shall keep for at least three years copies of the declaration and of all the invoices, delivery notes or other commercial document to which this declaration is annexed as well as the documents referred to in Article 5(6).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supplier making out a long-term supplier’s declaration shall keep for at least three years copies of the declaration and of all the invoices, delivery notes or other commercial documents concerning goods covered by that declaration sent to the customer concerned, as well as the documents referred to in Article 5(6). This period shall begin from the date of expiry of validity of the long-term supplier’s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Administrative cooperation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In order to ensure the proper application of this Annex, Turkey and Tunisia shall assist each other, through the competent customs authorities, in checking the authenticity of the movement certificates EUR.1, the origin declarations or the supplier</w:t>
      </w:r>
      <w:r>
        <w:rPr>
          <w:rFonts w:ascii="Times New Roman" w:eastAsia="Times New Roman" w:hAnsi="Times New Roman" w:cs="Times New Roman"/>
          <w:noProof/>
          <w:color w:val="444444"/>
          <w:sz w:val="24"/>
          <w:szCs w:val="24"/>
          <w:lang w:eastAsia="x-none"/>
        </w:rPr>
        <w:t>’s declarations and the correctness of the information given in these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Verification of 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Subsequent verifications of supplier</w:t>
      </w:r>
      <w:r>
        <w:rPr>
          <w:rFonts w:ascii="Times New Roman" w:eastAsia="Times New Roman" w:hAnsi="Times New Roman" w:cs="Times New Roman"/>
          <w:noProof/>
          <w:color w:val="444444"/>
          <w:sz w:val="24"/>
          <w:szCs w:val="24"/>
          <w:lang w:eastAsia="x-none"/>
        </w:rPr>
        <w:t>’s declarations or long-term supplier’s declarations may be carried out at random or whenever the customs authorities of the country where such declarations have been taken into account to issue a movement certificate EUR.1 or to make out an origin declaration, have reasonable doubts as to the authenticity of the document or the correctness of the information given in this document.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For the purposes of implementing the provisions of paragraph 1, the customs authorities of the country referred to in paragraph 1 shall return the supplier’s declaration or the long-term supplier’s declaration and invoices, delivery notes or other commercial documents concerning goods covered by such declaration, to the customs authorities of the country where the declaration was made out, giving, where appropriate, the reasons of substance or form of the request for verification.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They shall forward, in support of the request for subsequent verification, any documents and information that have been obtained suggesting that the information given in the supplier’s declaration or the long-term supplier’s declaration is incorrect.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The verification shall be carried out by the customs authorities of the country where the supplier’s declaration or the long-term supplier’s declaration was made out. For this purpose, they shall have the right to call for any evidence and carry out any inspection of the supplier’s accounts or any other check which they consider appropriate.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4.   The customs authorities requesting the verification shall be informed of the results thereof as soon as possible. These results shall indicate clearly whether the information given in the supplier</w:t>
      </w:r>
      <w:r>
        <w:rPr>
          <w:rFonts w:ascii="Times New Roman" w:eastAsia="Times New Roman" w:hAnsi="Times New Roman" w:cs="Times New Roman"/>
          <w:noProof/>
          <w:color w:val="444444"/>
          <w:sz w:val="24"/>
          <w:szCs w:val="24"/>
          <w:lang w:eastAsia="x-none"/>
        </w:rPr>
        <w:t>’s declaration or the long-term supplier’s declaration is correct and make it possible for them to determine whether and to what extent such declaration could be taken into account for issuing a movement certificate EUR.1 or for making out an origin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Sanctions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Penalties shall be imposed on any person who draws up, or causes to be drawn up, a document which contains incorrect information for the purpose of obtaining a preferential treatment for products.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lastRenderedPageBreak/>
        <w:t>Free zones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Turkey and Tunisia shall take all necessary steps to ensure that products traded under cover of a proof of origin, which in the course of transport use a free zone situated in their territory, are not substituted by other goods and do not undergo handling other than normal operations designed to prevent their deterioration.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By way of derogation from paragraph 1, when products originating in Turkey or Tunisia are imported into a free zone under cover of a proof of origin and undergo treatment or processing, the authorities concerned shall issue a new movement certificate EUR.1 at the exporter</w:t>
      </w:r>
      <w:r>
        <w:rPr>
          <w:rFonts w:ascii="Times New Roman" w:eastAsia="Times New Roman" w:hAnsi="Times New Roman" w:cs="Times New Roman"/>
          <w:noProof/>
          <w:color w:val="444444"/>
          <w:sz w:val="24"/>
          <w:szCs w:val="24"/>
          <w:lang w:eastAsia="x-none"/>
        </w:rPr>
        <w:t>’s request, if the treatment or processing undergone complies with the provisions of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XI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Trade between the EFTA States and the Republic of Tunisia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having acquired origin by application of the provisions foreseen in this Annex shall be excluded from cumulation as referred to in Article 3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2</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Cumulation in an EFTA State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 of implementing Article 2(1)(b) of Appendix I, working or processing carried out in Tunisia shall be considered as having been carried out in an EFTA State when the products obtained undergo subsequent working or processing in an EFTA State. Where, pursuant to this provision, the originating products are obtained in two or more of the Parties concerned, they shall be considered as originating in an EFTA State only if the working or processing goes beyond the operations referred to in Article 6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3</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Cumulation in Tunisia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For the purpose of implementing Article 2(1)(b) of Appendix I, working or processing carried out in the EFTA States shall be considered as having been carried out in Tunisia when the products obtained undergo subsequent working or processing in Tunisia. Where, pursuant to this provision, the originating products are obtained in two or more of the Parties concerned, they shall be considered as originating in Tunisia only if the working or processing goes beyond the operations referred to in Article 6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4</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Proofs of origin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Without prejudice to Article 16(4) and (5) of Appendix I, a movement certificate EUR.1 shall be issued by the customs authorities of an EFTA State or of Tunisia if the products concerned can be considered as products originating in an EFTA State or in Tunisia, with application of the cumulation referred to in Articles 2 and 3 of this Annex,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Without prejudice to Article 21(2) and (3) of Appendix I, an origin declaration may be made out if the products concerned can be considered as products originating in an EFTA State or in Tunisia, with application of the cumulation referred to in Articles 2 and 3 of this Annex,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5</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1.   When a movement certificate EUR.1 is issued, or an origin declaration is made out, in an EFTA State or in Tunisia for originating products, in the manufacture of which goods coming from Tunisia or the EFTA States which have undergone working or processing in these countries without having obtained preferential originating status, have been used, account shall be taken of the supplier</w:t>
      </w:r>
      <w:r>
        <w:rPr>
          <w:rFonts w:ascii="Times New Roman" w:eastAsia="Times New Roman" w:hAnsi="Times New Roman" w:cs="Times New Roman"/>
          <w:noProof/>
          <w:color w:val="444444"/>
          <w:sz w:val="24"/>
          <w:szCs w:val="24"/>
          <w:lang w:eastAsia="x-none"/>
        </w:rPr>
        <w:t>’s declaration given for those goods in accordance with this Article.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The supplier’s declaration referred to in paragraph 1 shall serve as evidence of the working or processing undergone in Tunisia or the ETFA States by the goods concerned for the purpose of determining whether the products in the manufacture of which these goods are used, may be considered as products originating in the EFTA States or Tunisia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A separate supplier’s declaration shall, except in the cases provided in paragraph 4, be made out by the supplier for each consignment of goods in the form prescribed in Annex E on a sheet of paper annexed to the invoice, the delivery note or any other commercial document describing the goods concerned in sufficient detail to enable them to be identified.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Where a supplier regularly supplies a particular customer with goods for which the working or processing undergone in Tunisia or the EFTA States is expected to remain constant for considerable periods of time, he may provide a single supplier’s declaration to cover subsequent consignments of those goods (hereinafter referred to as a ‘long-term supplier’s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A long-term supplier’s declaration may normally be valid for a period of up to one year from the date of making out the declaration. The customs authorities of the country where the declaration is made out lay down the conditions under which longer periods may be used.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long-term supplier’s declaration shall be made out by the supplier in the form prescribed in Annex F and shall describe the goods concerned in sufficient detail to enable them to be identified. It shall be provided to the customer concerned before he is supplied with the first consignment of goods covered by that declaration or together with his first consignment.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supplier shall inform his customer immediately if the long-term supplier’s declaration is no longer applicable to the goods supplied.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5.   The supplier’s declarations referred to in paragraphs 3 and 4 shall be typed or printed using one of the languages in which the Agreement is drawn up, in accordance with the provisions of the national law of the country where the declaration is made out, and shall bear the original signature of the supplier in manuscript. The declaration may also be handwritten; in such a case, it shall be written in ink in printed characters.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6.   The supplier making out a declaration shall be prepared to submit at any time, at the request of the customs authorities of the country where the declaration is made out, all appropriate documents proving that the information given on that declaration is correct.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Supporting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Supplier</w:t>
      </w:r>
      <w:r>
        <w:rPr>
          <w:rFonts w:ascii="Times New Roman" w:eastAsia="Times New Roman" w:hAnsi="Times New Roman" w:cs="Times New Roman"/>
          <w:noProof/>
          <w:color w:val="444444"/>
          <w:sz w:val="24"/>
          <w:szCs w:val="24"/>
          <w:lang w:eastAsia="x-none"/>
        </w:rPr>
        <w:t>’s declarations proving the working or processing undergone in the EFTA States or Tunisia by materials used, made out in one of these countries, shall be treated as a document referred to in Articles 16(3) and 21(5) of Appendix I and Article 5(6) of this Annex used for the purpose of proving that products covered by a movement certificate EUR.1 or an origin declaration may be considered as products originating in the an EFTA State or in Tunisia and fulfil the other requirements of Appendix 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7</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lastRenderedPageBreak/>
        <w:t>Preservation of 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supplier making out a supplier</w:t>
      </w:r>
      <w:r>
        <w:rPr>
          <w:rFonts w:ascii="Times New Roman" w:eastAsia="Times New Roman" w:hAnsi="Times New Roman" w:cs="Times New Roman"/>
          <w:noProof/>
          <w:color w:val="444444"/>
          <w:sz w:val="24"/>
          <w:szCs w:val="24"/>
          <w:lang w:eastAsia="x-none"/>
        </w:rPr>
        <w:t>’s declaration shall keep for at least three years copies of the declaration and of all the invoices, delivery notes or other commercial document to which this declaration is annexed as well as the documents referred to in Article 5(6).</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 supplier making out a long-term supplier’s declaration shall keep for at least three years copies of the declaration and of all the invoices, delivery notes or other commercial documents concerning goods covered by that declaration sent to the customer concerned, as well as the documents referred to in Article 5(6). This period shall begin from the date of expiry of validity of the long-term supplier’s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8</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Administrative cooperation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In order to ensure the proper application of this Annex, the EFTA States and Tunisia shall assist each other, through the competent customs authorities, in checking the authenticity of the movement certificates EUR.1, the origin declarations or the supplier</w:t>
      </w:r>
      <w:r>
        <w:rPr>
          <w:rFonts w:ascii="Times New Roman" w:eastAsia="Times New Roman" w:hAnsi="Times New Roman" w:cs="Times New Roman"/>
          <w:noProof/>
          <w:color w:val="444444"/>
          <w:sz w:val="24"/>
          <w:szCs w:val="24"/>
          <w:lang w:eastAsia="x-none"/>
        </w:rPr>
        <w:t>’s declarations and the correctness of the information given in these documents.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9</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Verification of supplier</w:t>
      </w:r>
      <w:r>
        <w:rPr>
          <w:rFonts w:ascii="Times New Roman" w:eastAsia="Times New Roman" w:hAnsi="Times New Roman" w:cs="Times New Roman"/>
          <w:b/>
          <w:bCs/>
          <w:noProof/>
          <w:color w:val="444444"/>
          <w:sz w:val="24"/>
          <w:szCs w:val="24"/>
          <w:lang w:eastAsia="x-none"/>
        </w:rPr>
        <w:t>’s declarations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Subsequent verifications of supplier</w:t>
      </w:r>
      <w:r>
        <w:rPr>
          <w:rFonts w:ascii="Times New Roman" w:eastAsia="Times New Roman" w:hAnsi="Times New Roman" w:cs="Times New Roman"/>
          <w:noProof/>
          <w:color w:val="444444"/>
          <w:sz w:val="24"/>
          <w:szCs w:val="24"/>
          <w:lang w:eastAsia="x-none"/>
        </w:rPr>
        <w:t>’s declarations or long-term supplier’s declarations may be carried out at random or whenever the customs authorities of the country where such declarations have been taken into account to issue a movement certificate EUR.1 or to make out an origin declaration, have reasonable doubts as to the authenticity of the document or the correctness of the information given in this document.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2.   For the purposes of implementing the provisions of paragraph 1, the customs authorities of the country referred to in paragraph 1 shall return the supplier’s declaration or the long-term supplier’s declaration and invoices, delivery notes or other commercial documents concerning goods covered by such declaration, to the customs authorities of the country where the declaration was made out, giving, where appropriate, the reasons of substance or form of the request for verification.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They shall forward, in support of the request for subsequent verification, any documents and information that have been obtained suggesting that the information given in the supplier’s declaration or the long-term supplier’s declaration is incorrect.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3.   The verification shall be carried out by the customs authorities of the country where the supplier’s declaration or the long-term supplier’s declaration was made out. For this purpose, they shall have the right to call for any evidence and carry out any inspection of the supplier’s accounts or any other check which they consider appropriate.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4.   The customs authorities requesting the verification shall be informed of the results thereof as soon as possible. These results shall indicate clearly whether the information given in the supplier’s declaration or the long-term supplier’s declaration is correct and make it possible for them to determine whether and to what extent such declaration could be taken into account for issuing a movement certificate EUR.1 or for making out an origin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t>Article 10</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Sanctions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Penalties shall be imposed on any person who draws up, or causes to be drawn up, a document which contains incorrect information for the purpose of obtaining a preferential treatment for products.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i/>
          <w:iCs/>
          <w:noProof/>
          <w:color w:val="444444"/>
          <w:sz w:val="24"/>
          <w:szCs w:val="24"/>
          <w:lang w:eastAsia="x-none"/>
        </w:rPr>
      </w:pPr>
      <w:r>
        <w:rPr>
          <w:rFonts w:ascii="Times New Roman" w:hAnsi="Times New Roman" w:cs="Times New Roman"/>
          <w:i/>
          <w:iCs/>
          <w:noProof/>
          <w:color w:val="444444"/>
          <w:sz w:val="24"/>
          <w:szCs w:val="24"/>
          <w:lang w:eastAsia="x-none"/>
        </w:rPr>
        <w:lastRenderedPageBreak/>
        <w:t>Article 11</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Free zones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1.   The EFTA States and Tunisia shall take all necessary steps to ensure that products traded under cover of a proof of origin, which in the course of transport use a free zone situated in their territory, are not substituted by other goods and do not undergo handling other than normal operations designed to prevent their deterioration.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2.   By way of derogation from paragraph 1, when products originating in an EFTA State or Tunisia are imported into a free zone under cover of a proof of origin and undergo treatment or processing, the authorities concerned shall issue a new movement certificate EUR.1 at the exporter</w:t>
      </w:r>
      <w:r>
        <w:rPr>
          <w:rFonts w:ascii="Times New Roman" w:eastAsia="Times New Roman" w:hAnsi="Times New Roman" w:cs="Times New Roman"/>
          <w:noProof/>
          <w:color w:val="444444"/>
          <w:sz w:val="24"/>
          <w:szCs w:val="24"/>
          <w:lang w:eastAsia="x-none"/>
        </w:rPr>
        <w:t>’s request, if the treatment or processing undergone complies with the provisions of this Convention.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XII</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Trade in the framework of the Free Trade Agreement among the Mediterranean Arab countries (Agadir Agreement)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Products obtained in the countries members to the Free Trade Agreement among the Mediterranean Arab countries (Agadir Agreement) from materials from chapters 1 to 24 of the Harmonised System are excluded from diagonal cumulation with the other Contracting Parties, when trade for these materials is not liberalised in the framework of the free trade agreements concluded between the country of final destination and the country of origin of the materials used for the manufacturing of this product.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A</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Supplier</w:t>
      </w:r>
      <w:r>
        <w:rPr>
          <w:rFonts w:ascii="Times New Roman" w:eastAsia="Times New Roman" w:hAnsi="Times New Roman" w:cs="Times New Roman"/>
          <w:b/>
          <w:bCs/>
          <w:noProof/>
          <w:color w:val="444444"/>
          <w:sz w:val="24"/>
          <w:szCs w:val="24"/>
          <w:lang w:eastAsia="x-none"/>
        </w:rPr>
        <w:t>’s declaration for goods which have undergone working or processing in the European Union, Algeria, Morocco or Tunisia without having obtained preferential originating status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supplier</w:t>
      </w:r>
      <w:r>
        <w:rPr>
          <w:rFonts w:ascii="Times New Roman" w:eastAsia="Times New Roman" w:hAnsi="Times New Roman" w:cs="Times New Roman"/>
          <w:noProof/>
          <w:color w:val="444444"/>
          <w:sz w:val="24"/>
          <w:szCs w:val="24"/>
          <w:lang w:eastAsia="x-none"/>
        </w:rPr>
        <w:t>’s declaration, the text of which is given below, must be made out in accordance with the footnotes. However, the footnotes do not have to be reproduced.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SUPPLIER</w:t>
      </w:r>
      <w:r>
        <w:rPr>
          <w:rFonts w:ascii="Times New Roman" w:eastAsia="Times New Roman" w:hAnsi="Times New Roman" w:cs="Times New Roman"/>
          <w:b/>
          <w:bCs/>
          <w:noProof/>
          <w:color w:val="444444"/>
          <w:sz w:val="24"/>
          <w:szCs w:val="24"/>
          <w:lang w:eastAsia="x-none"/>
        </w:rPr>
        <w:t>’S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eastAsia="Times New Roman" w:hAnsi="Times New Roman" w:cs="Times New Roman"/>
          <w:b/>
          <w:bCs/>
          <w:noProof/>
          <w:color w:val="444444"/>
          <w:sz w:val="24"/>
          <w:szCs w:val="24"/>
          <w:lang w:eastAsia="x-none"/>
        </w:rPr>
        <w:t>for goods which have undergone working or processing in the European Union, Algeria, Morocco or Tunisia without having obtained preferential originating status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 the undersigned, supplier of the goods covered by the annexed document, declare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85"/>
        <w:gridCol w:w="8725"/>
      </w:tblGrid>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1.</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following materials which do not originate in the European Union, Algeria, Morocco or Tunisia have been used in the European Union, Algeria, Morocco or Tunisia to produce these goods: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992"/>
              <w:gridCol w:w="2230"/>
              <w:gridCol w:w="2183"/>
              <w:gridCol w:w="2199"/>
            </w:tblGrid>
            <w:tr w:rsidR="00D74962">
              <w:tc>
                <w:tcPr>
                  <w:tcW w:w="1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the goods supplied</w:t>
                  </w:r>
                  <w:hyperlink r:id="rId127" w:anchor="ntr1-L_2013054EN.01014701-E0001"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1</w:t>
                    </w:r>
                    <w:r>
                      <w:rPr>
                        <w:rFonts w:ascii="Times New Roman" w:hAnsi="Times New Roman" w:cs="Times New Roman"/>
                        <w:b/>
                        <w:bCs/>
                        <w:noProof/>
                        <w:color w:val="800080"/>
                        <w:lang w:eastAsia="x-none"/>
                      </w:rPr>
                      <w:t>)</w:t>
                    </w:r>
                  </w:hyperlink>
                </w:p>
              </w:tc>
              <w:tc>
                <w:tcPr>
                  <w:tcW w:w="22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non-originating materials used</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Heading of non-originating materials used</w:t>
                  </w:r>
                  <w:hyperlink r:id="rId128" w:anchor="ntr2-L_2013054EN.01014701-E0002"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2</w:t>
                    </w:r>
                    <w:r>
                      <w:rPr>
                        <w:rFonts w:ascii="Times New Roman" w:hAnsi="Times New Roman" w:cs="Times New Roman"/>
                        <w:b/>
                        <w:bCs/>
                        <w:noProof/>
                        <w:color w:val="800080"/>
                        <w:lang w:eastAsia="x-none"/>
                      </w:rPr>
                      <w:t>)</w:t>
                    </w:r>
                  </w:hyperlink>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Value of non-originating materials used</w:t>
                  </w:r>
                  <w:hyperlink r:id="rId129" w:anchor="ntr2-L_2013054EN.01014701-E0002"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2</w:t>
                    </w:r>
                    <w:r>
                      <w:rPr>
                        <w:rFonts w:ascii="Times New Roman" w:hAnsi="Times New Roman" w:cs="Times New Roman"/>
                        <w:b/>
                        <w:bCs/>
                        <w:noProof/>
                        <w:color w:val="800080"/>
                        <w:lang w:eastAsia="x-none"/>
                      </w:rPr>
                      <w:t>)</w:t>
                    </w:r>
                  </w:hyperlink>
                  <w:r>
                    <w:rPr>
                      <w:rFonts w:ascii="Times New Roman" w:hAnsi="Times New Roman" w:cs="Times New Roman"/>
                      <w:b/>
                      <w:bCs/>
                      <w:noProof/>
                      <w:lang w:eastAsia="x-none"/>
                    </w:rPr>
                    <w:t> </w:t>
                  </w:r>
                  <w:hyperlink r:id="rId130" w:anchor="ntr3-L_2013054EN.01014701-E0003"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3</w:t>
                    </w:r>
                    <w:r>
                      <w:rPr>
                        <w:rFonts w:ascii="Times New Roman" w:hAnsi="Times New Roman" w:cs="Times New Roman"/>
                        <w:b/>
                        <w:bCs/>
                        <w:noProof/>
                        <w:color w:val="800080"/>
                        <w:lang w:eastAsia="x-none"/>
                      </w:rPr>
                      <w:t>)</w:t>
                    </w:r>
                  </w:hyperlink>
                </w:p>
              </w:tc>
            </w:tr>
            <w:tr w:rsidR="00D74962">
              <w:tc>
                <w:tcPr>
                  <w:tcW w:w="1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2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1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2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1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2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640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Total</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2.</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All the other materials used in the European Union, Algeria, Morocco or Tunisia to produce these goods originate in the European Union, Algeria, Morocco or Tunisia;</w:t>
            </w: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lastRenderedPageBreak/>
              <w:t>3.</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following goods have undergone working or processing outside the European Union, Algeria, Morocco or Tunisia in accordance with Article 11 of Appendix I to the Regional Convention on pan-Euro-Mediterranean preferential rules of origin and have acquired the following total added value there: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Description of the goods supplied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Total added value acquired outside the European Union, Algeria, Morocco or Tunisia</w:t>
            </w:r>
            <w:hyperlink r:id="rId131" w:anchor="ntr4-L_2013054EN.01014701-E0004"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4</w:t>
              </w:r>
              <w:r>
                <w:rPr>
                  <w:rFonts w:ascii="Times New Roman" w:hAnsi="Times New Roman" w:cs="Times New Roman"/>
                  <w:noProof/>
                  <w:color w:val="800080"/>
                  <w:sz w:val="24"/>
                  <w:szCs w:val="24"/>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r>
              <w:rPr>
                <w:rFonts w:ascii="Times New Roman" w:hAnsi="Times New Roman" w:cs="Times New Roman"/>
                <w:i/>
                <w:iCs/>
                <w:noProof/>
                <w:sz w:val="24"/>
                <w:szCs w:val="24"/>
                <w:lang w:eastAsia="x-none"/>
              </w:rPr>
              <w:t>Place and date</w:t>
            </w:r>
            <w:r>
              <w:rPr>
                <w:rFonts w:ascii="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r>
              <w:rPr>
                <w:rFonts w:ascii="Times New Roman" w:hAnsi="Times New Roman" w:cs="Times New Roman"/>
                <w:i/>
                <w:iCs/>
                <w:noProof/>
                <w:sz w:val="24"/>
                <w:szCs w:val="24"/>
                <w:lang w:eastAsia="x-none"/>
              </w:rPr>
              <w:t>Address and signature of the supplier; in addition the name of the person signing the declaration has to be indicated in clear script</w:t>
            </w:r>
            <w:r>
              <w:rPr>
                <w:rFonts w:ascii="Times New Roman" w:hAnsi="Times New Roman" w:cs="Times New Roman"/>
                <w:noProof/>
                <w:sz w:val="24"/>
                <w:szCs w:val="24"/>
                <w:lang w:eastAsia="x-none"/>
              </w:rPr>
              <w:t>)</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32" w:anchor="ntc1-L_2013054EN.01014701-E0001"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1</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When the invoice, delivery note or other commercial document to which the declaration is annexed relates to different kinds of goods, or to goods which do not incorporate non-originating materials to the same extent, the supplier must clearly differentiate them.</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Example: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The document relates to different models of electric motor of heading 8501 to be used in the manufacture of washing machines of heading 8450. The nature and value of the non-originating materials used in the manufacture of these motors differ from one model to another. The models must therefore be differentiated in the first column and the indications in the other columns must be provided separately for each of the models to make it possible for the manufacturer of washing machines to make a correct assessment of the originating status of his products depending on which model of electrical motor he uses.</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33" w:anchor="ntc2-L_2013054EN.01014701-E0002"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2</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The indications requested in these columns should only be given if they are necessary.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Examples: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The rule for garments of ex Chapter 62 says that non-originating yarn may be used. If a manufacturer of such garments in Algeria uses fabric imported from the European Union which has been obtained there by weaving non-originating yarn, it is sufficient for the European Union supplier to describe in his declaration the non-originating material used as yarn, without it being necessary to indicate the heading and value of such yarn.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 xml:space="preserve">A producer of iron of heading 7217 who has produced it from non-originating iron bars should indicate in the second column </w:t>
      </w:r>
      <w:r>
        <w:rPr>
          <w:rFonts w:ascii="Times New Roman" w:eastAsia="Times New Roman" w:hAnsi="Times New Roman" w:cs="Times New Roman"/>
          <w:noProof/>
          <w:color w:val="444444"/>
          <w:sz w:val="19"/>
          <w:szCs w:val="19"/>
          <w:lang w:eastAsia="x-none"/>
        </w:rPr>
        <w:t>‘bars of iron’. Where this wire is to be used in the production of a machine, for which the rule contains a limitation for all non-originating materials used to a certain percentage value, it is necessary to indicate in the third column the value of non-originating bars.</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34" w:anchor="ntc3-L_2013054EN.01014701-E0003"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3</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t>
      </w:r>
      <w:r w:rsidR="00935DDF">
        <w:rPr>
          <w:rFonts w:ascii="Times New Roman" w:eastAsia="Times New Roman" w:hAnsi="Times New Roman" w:cs="Times New Roman"/>
          <w:noProof/>
          <w:color w:val="444444"/>
          <w:sz w:val="19"/>
          <w:szCs w:val="19"/>
          <w:lang w:eastAsia="x-none"/>
        </w:rPr>
        <w:t>‘Value of materials’ means the customs value at the time of importation of the non-originating materials used, or, if this is not known and cannot be ascertained, the first ascertainable price paid for the materials in the European Union, Algeria, Morocco or Tunisia. The exact value for each non-originating material used be given per unit of the goods specified in the first column.</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35" w:anchor="ntc4-L_2013054EN.01014701-E0004"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4</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t>
      </w:r>
      <w:r w:rsidR="00935DDF">
        <w:rPr>
          <w:rFonts w:ascii="Times New Roman" w:eastAsia="Times New Roman" w:hAnsi="Times New Roman" w:cs="Times New Roman"/>
          <w:noProof/>
          <w:color w:val="444444"/>
          <w:sz w:val="19"/>
          <w:szCs w:val="19"/>
          <w:lang w:eastAsia="x-none"/>
        </w:rPr>
        <w:t>‘Total added value’ shall mean all costs accumulated outside the European Union, Algeria, Morocco or Tunisia, including the value of all materials added there. The exact total added value acquired outside the European Union, Algeria, Morocco or Tunisia must be given per unit of the goods specified in the first column.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lastRenderedPageBreak/>
        <w:t>ANNEX B</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Long-term supplier</w:t>
      </w:r>
      <w:r>
        <w:rPr>
          <w:rFonts w:ascii="Times New Roman" w:eastAsia="Times New Roman" w:hAnsi="Times New Roman" w:cs="Times New Roman"/>
          <w:b/>
          <w:bCs/>
          <w:noProof/>
          <w:color w:val="444444"/>
          <w:sz w:val="24"/>
          <w:szCs w:val="24"/>
          <w:lang w:eastAsia="x-none"/>
        </w:rPr>
        <w:t>’s declaration for goods which have undergone working or processing in the European Union, Algeria, Morocco or Tunisia without having obtained preferential originating status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long-term supplier</w:t>
      </w:r>
      <w:r>
        <w:rPr>
          <w:rFonts w:ascii="Times New Roman" w:eastAsia="Times New Roman" w:hAnsi="Times New Roman" w:cs="Times New Roman"/>
          <w:noProof/>
          <w:color w:val="444444"/>
          <w:sz w:val="24"/>
          <w:szCs w:val="24"/>
          <w:lang w:eastAsia="x-none"/>
        </w:rPr>
        <w:t>’s declaration, the text of which is given below, must be made out in accordance with the footnotes. However, the footnotes do not have to be reproduced.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LONG-TERM SUPPLIER</w:t>
      </w:r>
      <w:r>
        <w:rPr>
          <w:rFonts w:ascii="Times New Roman" w:eastAsia="Times New Roman" w:hAnsi="Times New Roman" w:cs="Times New Roman"/>
          <w:b/>
          <w:bCs/>
          <w:noProof/>
          <w:color w:val="444444"/>
          <w:sz w:val="24"/>
          <w:szCs w:val="24"/>
          <w:lang w:eastAsia="x-none"/>
        </w:rPr>
        <w:t>’S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eastAsia="Times New Roman" w:hAnsi="Times New Roman" w:cs="Times New Roman"/>
          <w:b/>
          <w:bCs/>
          <w:noProof/>
          <w:color w:val="444444"/>
          <w:sz w:val="24"/>
          <w:szCs w:val="24"/>
          <w:lang w:eastAsia="x-none"/>
        </w:rPr>
        <w:t>for goods which have undergone working or processing in the European Union, Algeria, Morocco or Tunisia without having obtained preferential originating status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I, the undersigned, supplier of the goods covered by this document, which are regularly supplied to </w:t>
      </w:r>
      <w:r>
        <w:rPr>
          <w:rFonts w:ascii="Times New Roman" w:eastAsia="Times New Roman" w:hAnsi="Times New Roman" w:cs="Times New Roman"/>
          <w:noProof/>
          <w:color w:val="444444"/>
          <w:sz w:val="24"/>
          <w:szCs w:val="24"/>
          <w:lang w:eastAsia="x-none"/>
        </w:rPr>
        <w:t>…</w:t>
      </w:r>
      <w:hyperlink r:id="rId136" w:anchor="ntr1-L_2013054EN.01014901-E0001"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1</w:t>
        </w:r>
        <w:r>
          <w:rPr>
            <w:rFonts w:ascii="Times New Roman" w:hAnsi="Times New Roman" w:cs="Times New Roman"/>
            <w:noProof/>
            <w:color w:val="800080"/>
            <w:sz w:val="24"/>
            <w:szCs w:val="24"/>
            <w:lang w:eastAsia="x-none"/>
          </w:rPr>
          <w:t>)</w:t>
        </w:r>
      </w:hyperlink>
      <w:r>
        <w:rPr>
          <w:rFonts w:ascii="Times New Roman" w:hAnsi="Times New Roman" w:cs="Times New Roman"/>
          <w:noProof/>
          <w:color w:val="444444"/>
          <w:sz w:val="24"/>
          <w:szCs w:val="24"/>
          <w:lang w:eastAsia="x-none"/>
        </w:rPr>
        <w:t> declare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85"/>
        <w:gridCol w:w="8725"/>
      </w:tblGrid>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1.</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following materials which do not originate in the European Union, Algeria, Morocco, or Tunisia have been used in the European Union, Algeria, Morocco or Tunisia to produce these goods: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992"/>
              <w:gridCol w:w="2230"/>
              <w:gridCol w:w="2183"/>
              <w:gridCol w:w="2199"/>
            </w:tblGrid>
            <w:tr w:rsidR="00D74962">
              <w:tc>
                <w:tcPr>
                  <w:tcW w:w="1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the goods supplied</w:t>
                  </w:r>
                  <w:hyperlink r:id="rId137" w:anchor="ntr2-L_2013054EN.01014901-E0002"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2</w:t>
                    </w:r>
                    <w:r>
                      <w:rPr>
                        <w:rFonts w:ascii="Times New Roman" w:hAnsi="Times New Roman" w:cs="Times New Roman"/>
                        <w:b/>
                        <w:bCs/>
                        <w:noProof/>
                        <w:color w:val="800080"/>
                        <w:lang w:eastAsia="x-none"/>
                      </w:rPr>
                      <w:t>)</w:t>
                    </w:r>
                  </w:hyperlink>
                </w:p>
              </w:tc>
              <w:tc>
                <w:tcPr>
                  <w:tcW w:w="22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non-originating materials used</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Heading of non-originating materials used</w:t>
                  </w:r>
                  <w:hyperlink r:id="rId138" w:anchor="ntr3-L_2013054EN.01014901-E0003"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3</w:t>
                    </w:r>
                    <w:r>
                      <w:rPr>
                        <w:rFonts w:ascii="Times New Roman" w:hAnsi="Times New Roman" w:cs="Times New Roman"/>
                        <w:b/>
                        <w:bCs/>
                        <w:noProof/>
                        <w:color w:val="800080"/>
                        <w:lang w:eastAsia="x-none"/>
                      </w:rPr>
                      <w:t>)</w:t>
                    </w:r>
                  </w:hyperlink>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Value of non-originating materials used</w:t>
                  </w:r>
                  <w:hyperlink r:id="rId139" w:anchor="ntr3-L_2013054EN.01014901-E0003"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3</w:t>
                    </w:r>
                    <w:r>
                      <w:rPr>
                        <w:rFonts w:ascii="Times New Roman" w:hAnsi="Times New Roman" w:cs="Times New Roman"/>
                        <w:b/>
                        <w:bCs/>
                        <w:noProof/>
                        <w:color w:val="800080"/>
                        <w:lang w:eastAsia="x-none"/>
                      </w:rPr>
                      <w:t>)</w:t>
                    </w:r>
                  </w:hyperlink>
                  <w:r>
                    <w:rPr>
                      <w:rFonts w:ascii="Times New Roman" w:hAnsi="Times New Roman" w:cs="Times New Roman"/>
                      <w:b/>
                      <w:bCs/>
                      <w:noProof/>
                      <w:lang w:eastAsia="x-none"/>
                    </w:rPr>
                    <w:t> </w:t>
                  </w:r>
                  <w:hyperlink r:id="rId140" w:anchor="ntr4-L_2013054EN.01014901-E0004"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4</w:t>
                    </w:r>
                    <w:r>
                      <w:rPr>
                        <w:rFonts w:ascii="Times New Roman" w:hAnsi="Times New Roman" w:cs="Times New Roman"/>
                        <w:b/>
                        <w:bCs/>
                        <w:noProof/>
                        <w:color w:val="800080"/>
                        <w:lang w:eastAsia="x-none"/>
                      </w:rPr>
                      <w:t>)</w:t>
                    </w:r>
                  </w:hyperlink>
                </w:p>
              </w:tc>
            </w:tr>
            <w:tr w:rsidR="00D74962">
              <w:tc>
                <w:tcPr>
                  <w:tcW w:w="1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2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1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2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1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2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640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Total</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2.</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All the other materials used in the European Union, Algeria, Morocco or Tunisia to produce these goods originate in the European Union, Algeria, Morocco or Tunisia;</w:t>
            </w: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3.</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following goods have undergone working or processing outside the European Union, Algeria, Morocco or Tunisia in accordance with Article 11 of Appendix I to the Regional Convention on pan-Euro-Mediterranean preferential rules of origin and have acquired the following total added value there: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680"/>
              <w:gridCol w:w="5924"/>
            </w:tblGrid>
            <w:tr w:rsidR="00D74962">
              <w:tc>
                <w:tcPr>
                  <w:tcW w:w="268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the goods supplied</w:t>
                  </w:r>
                </w:p>
              </w:tc>
              <w:tc>
                <w:tcPr>
                  <w:tcW w:w="592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Total added value acquired outside the European Union, Algeria, Morocco or Tunisia</w:t>
                  </w:r>
                  <w:hyperlink r:id="rId141" w:anchor="ntr5-L_2013054EN.01014901-E0005"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5</w:t>
                    </w:r>
                    <w:r>
                      <w:rPr>
                        <w:rFonts w:ascii="Times New Roman" w:hAnsi="Times New Roman" w:cs="Times New Roman"/>
                        <w:b/>
                        <w:bCs/>
                        <w:noProof/>
                        <w:color w:val="800080"/>
                        <w:lang w:eastAsia="x-none"/>
                      </w:rPr>
                      <w:t>)</w:t>
                    </w:r>
                  </w:hyperlink>
                </w:p>
              </w:tc>
            </w:tr>
            <w:tr w:rsidR="00D74962">
              <w:tc>
                <w:tcPr>
                  <w:tcW w:w="268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592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268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592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268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5924"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This declaration is valid for all subsequent consignments of these goods dispatched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from </w:t>
      </w: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to …</w:t>
      </w:r>
      <w:hyperlink r:id="rId142" w:anchor="ntr6-L_2013054EN.01014901-E0006"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6</w:t>
        </w:r>
        <w:r>
          <w:rPr>
            <w:rFonts w:ascii="Times New Roman" w:hAnsi="Times New Roman" w:cs="Times New Roman"/>
            <w:noProof/>
            <w:color w:val="800080"/>
            <w:sz w:val="24"/>
            <w:szCs w:val="24"/>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I undertake to inform </w:t>
      </w:r>
      <w:r>
        <w:rPr>
          <w:rFonts w:ascii="Times New Roman" w:eastAsia="Times New Roman" w:hAnsi="Times New Roman" w:cs="Times New Roman"/>
          <w:noProof/>
          <w:color w:val="444444"/>
          <w:sz w:val="24"/>
          <w:szCs w:val="24"/>
          <w:lang w:eastAsia="x-none"/>
        </w:rPr>
        <w:t>…</w:t>
      </w:r>
      <w:hyperlink r:id="rId143" w:anchor="ntr1-L_2013054EN.01014901-E0001"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1</w:t>
        </w:r>
        <w:r>
          <w:rPr>
            <w:rFonts w:ascii="Times New Roman" w:hAnsi="Times New Roman" w:cs="Times New Roman"/>
            <w:noProof/>
            <w:color w:val="800080"/>
            <w:sz w:val="24"/>
            <w:szCs w:val="24"/>
            <w:lang w:eastAsia="x-none"/>
          </w:rPr>
          <w:t>)</w:t>
        </w:r>
      </w:hyperlink>
      <w:r>
        <w:rPr>
          <w:rFonts w:ascii="Times New Roman" w:hAnsi="Times New Roman" w:cs="Times New Roman"/>
          <w:noProof/>
          <w:color w:val="444444"/>
          <w:sz w:val="24"/>
          <w:szCs w:val="24"/>
          <w:lang w:eastAsia="x-none"/>
        </w:rPr>
        <w:t> immediately if this declaration is no longer valid.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r>
        <w:rPr>
          <w:rFonts w:ascii="Times New Roman" w:hAnsi="Times New Roman" w:cs="Times New Roman"/>
          <w:i/>
          <w:iCs/>
          <w:noProof/>
          <w:color w:val="444444"/>
          <w:sz w:val="24"/>
          <w:szCs w:val="24"/>
          <w:lang w:eastAsia="x-none"/>
        </w:rPr>
        <w:t>Place and date</w:t>
      </w:r>
      <w:r>
        <w:rPr>
          <w:rFonts w:ascii="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lastRenderedPageBreak/>
        <w:t>(</w:t>
      </w:r>
      <w:r>
        <w:rPr>
          <w:rFonts w:ascii="Times New Roman" w:hAnsi="Times New Roman" w:cs="Times New Roman"/>
          <w:i/>
          <w:iCs/>
          <w:noProof/>
          <w:color w:val="444444"/>
          <w:sz w:val="24"/>
          <w:szCs w:val="24"/>
          <w:lang w:eastAsia="x-none"/>
        </w:rPr>
        <w:t>Address and signature of the supplier; in addition the name of the person signing the declaration has to be indicated in clear script</w:t>
      </w:r>
      <w:r>
        <w:rPr>
          <w:rFonts w:ascii="Times New Roman" w:hAnsi="Times New Roman" w:cs="Times New Roman"/>
          <w:noProof/>
          <w:color w:val="444444"/>
          <w:sz w:val="24"/>
          <w:szCs w:val="24"/>
          <w:lang w:eastAsia="x-none"/>
        </w:rPr>
        <w:t>)</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44" w:anchor="ntc1-L_2013054EN.01014901-E0001"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1</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Name and address of the customer</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45" w:anchor="ntc2-L_2013054EN.01014901-E0002"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2</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When the invoice, delivery note or other commercial document to which the declaration is annexed relates to different kinds of goods, or to goods which do not incorporate non-originating materials to the same extent, the supplier must clearly differentiate them.</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Example: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The document relates to different models of electric motor of heading 8501 to be used in the manufacture of washing machines of heading 8450. The nature and value of the non-originating materials used in the manufacture of these motors differ from one model to another. The models must therefore be differentiated in the first column and the indications in the other columns must be provided separately for each of the models to make it possible for the manufacturer of washing machines to make a correct assessment of the originating status of his products depending on which model of electrical motor he uses.</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46" w:anchor="ntc3-L_2013054EN.01014901-E0003"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3</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The indications requested in these columns should only be given if they are necessary.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Examples: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65"/>
        <w:gridCol w:w="8845"/>
      </w:tblGrid>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88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19"/>
                <w:szCs w:val="19"/>
                <w:lang w:eastAsia="x-none"/>
              </w:rPr>
            </w:pPr>
            <w:r>
              <w:rPr>
                <w:rFonts w:ascii="Times New Roman" w:hAnsi="Times New Roman" w:cs="Times New Roman"/>
                <w:noProof/>
                <w:sz w:val="19"/>
                <w:szCs w:val="19"/>
                <w:lang w:eastAsia="x-none"/>
              </w:rPr>
              <w:t>The rule for garments of ex Chapter 62 says that non-originating yarn may be used. If a manufacturer of such garments in Algeria uses fabric imported from the European Union which has been obtained there by weaving non-originating yarn, it is sufficient for the European Union supplier to describe in his declaration the non-originating material used as yarn, without it being necessary to indicate the heading and value of such yarn.</w:t>
            </w:r>
          </w:p>
        </w:tc>
      </w:tr>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88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19"/>
                <w:szCs w:val="19"/>
                <w:lang w:eastAsia="x-none"/>
              </w:rPr>
            </w:pPr>
            <w:r>
              <w:rPr>
                <w:rFonts w:ascii="Times New Roman" w:hAnsi="Times New Roman" w:cs="Times New Roman"/>
                <w:noProof/>
                <w:sz w:val="19"/>
                <w:szCs w:val="19"/>
                <w:lang w:eastAsia="x-none"/>
              </w:rPr>
              <w:t xml:space="preserve">A producer of iron of heading 7217 who has produced it from non-originating iron bars should indicate in the second column </w:t>
            </w:r>
            <w:r>
              <w:rPr>
                <w:rFonts w:ascii="Times New Roman" w:eastAsia="Times New Roman" w:hAnsi="Times New Roman" w:cs="Times New Roman"/>
                <w:noProof/>
                <w:sz w:val="19"/>
                <w:szCs w:val="19"/>
                <w:lang w:eastAsia="x-none"/>
              </w:rPr>
              <w:t>‘bars of iron’. Where this wire is to be used in the production of a machine, for which the rule contains a limitation for all non-originating materials used to a certain percentage value, it is necessary to indicate in the third column the value of non-originating bars.</w:t>
            </w:r>
          </w:p>
        </w:tc>
      </w:tr>
    </w:tbl>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47" w:anchor="ntc4-L_2013054EN.01014901-E0004"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4</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t>
      </w:r>
      <w:r w:rsidR="00935DDF">
        <w:rPr>
          <w:rFonts w:ascii="Times New Roman" w:eastAsia="Times New Roman" w:hAnsi="Times New Roman" w:cs="Times New Roman"/>
          <w:noProof/>
          <w:color w:val="444444"/>
          <w:sz w:val="19"/>
          <w:szCs w:val="19"/>
          <w:lang w:eastAsia="x-none"/>
        </w:rPr>
        <w:t>‘Value of materials’ means the customs value at the time of importation of the non-originating materials used, or, if this is not known and cannot be ascertained, the first ascertainable price paid for the materials in the European Union, Algeria, Morocco or Tunisia. The exact value for each non-originating material used be given per unit of the goods specified in the first column.</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48" w:anchor="ntc5-L_2013054EN.01014901-E0005"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5</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t>
      </w:r>
      <w:r w:rsidR="00935DDF">
        <w:rPr>
          <w:rFonts w:ascii="Times New Roman" w:eastAsia="Times New Roman" w:hAnsi="Times New Roman" w:cs="Times New Roman"/>
          <w:noProof/>
          <w:color w:val="444444"/>
          <w:sz w:val="19"/>
          <w:szCs w:val="19"/>
          <w:lang w:eastAsia="x-none"/>
        </w:rPr>
        <w:t>‘Total added value’ means all costs accumulated outside the European Union, Algeria, Morocco or Tunisia, including the value of all materials added there. The exact total added value acquired outside the European Union, Algeria, Morocco or Tunisia must be given per unit of the goods specified in the first column.</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49" w:anchor="ntc6-L_2013054EN.01014901-E0006"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6</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Insert dates. The period of validity of the long-term supplier</w:t>
      </w:r>
      <w:r w:rsidR="00935DDF">
        <w:rPr>
          <w:rFonts w:ascii="Times New Roman" w:eastAsia="Times New Roman" w:hAnsi="Times New Roman" w:cs="Times New Roman"/>
          <w:noProof/>
          <w:color w:val="444444"/>
          <w:sz w:val="19"/>
          <w:szCs w:val="19"/>
          <w:lang w:eastAsia="x-none"/>
        </w:rPr>
        <w:t>’s declaration should not normally exceed 12 months, subject to the conditions laid down by the customs authorities of the country where the long-term supplier’s declaration is made out.</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C</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Supplier</w:t>
      </w:r>
      <w:r>
        <w:rPr>
          <w:rFonts w:ascii="Times New Roman" w:eastAsia="Times New Roman" w:hAnsi="Times New Roman" w:cs="Times New Roman"/>
          <w:b/>
          <w:bCs/>
          <w:noProof/>
          <w:color w:val="444444"/>
          <w:sz w:val="24"/>
          <w:szCs w:val="24"/>
          <w:lang w:eastAsia="x-none"/>
        </w:rPr>
        <w:t>’s declaration for goods which have undergone working or processing in Algeria, Morocco, Tunisia or Turkey without having obtained preferential originating status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supplier</w:t>
      </w:r>
      <w:r>
        <w:rPr>
          <w:rFonts w:ascii="Times New Roman" w:eastAsia="Times New Roman" w:hAnsi="Times New Roman" w:cs="Times New Roman"/>
          <w:noProof/>
          <w:color w:val="444444"/>
          <w:sz w:val="24"/>
          <w:szCs w:val="24"/>
          <w:lang w:eastAsia="x-none"/>
        </w:rPr>
        <w:t>’s declaration, the text of which is given below, must be made out in accordance with the footnotes. However, the footnotes do not have to be reproduced.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SUPPLIER</w:t>
      </w:r>
      <w:r>
        <w:rPr>
          <w:rFonts w:ascii="Times New Roman" w:eastAsia="Times New Roman" w:hAnsi="Times New Roman" w:cs="Times New Roman"/>
          <w:b/>
          <w:bCs/>
          <w:noProof/>
          <w:color w:val="444444"/>
          <w:sz w:val="24"/>
          <w:szCs w:val="24"/>
          <w:lang w:eastAsia="x-none"/>
        </w:rPr>
        <w:t>’S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eastAsia="Times New Roman" w:hAnsi="Times New Roman" w:cs="Times New Roman"/>
          <w:b/>
          <w:bCs/>
          <w:noProof/>
          <w:color w:val="444444"/>
          <w:sz w:val="24"/>
          <w:szCs w:val="24"/>
          <w:lang w:eastAsia="x-none"/>
        </w:rPr>
        <w:t>for goods which have undergone working or processing in Algeria, Morocco, Tunisia or Turkey without having obtained preferential originating status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 the undersigned, supplier of the goods covered by the annexed document, declare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85"/>
        <w:gridCol w:w="8725"/>
      </w:tblGrid>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1.</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following materials which do not originate in Algeria, Morocco, Tunisia or Turkey have been used in Algeria, Morocco, Tunisia or Turkey to produce these goods: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992"/>
              <w:gridCol w:w="2230"/>
              <w:gridCol w:w="2183"/>
              <w:gridCol w:w="2199"/>
            </w:tblGrid>
            <w:tr w:rsidR="00D74962">
              <w:tc>
                <w:tcPr>
                  <w:tcW w:w="1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the goods supplied</w:t>
                  </w:r>
                  <w:hyperlink r:id="rId150" w:anchor="ntr1-L_2013054EN.01015101-E0001"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1</w:t>
                    </w:r>
                    <w:r>
                      <w:rPr>
                        <w:rFonts w:ascii="Times New Roman" w:hAnsi="Times New Roman" w:cs="Times New Roman"/>
                        <w:b/>
                        <w:bCs/>
                        <w:noProof/>
                        <w:color w:val="800080"/>
                        <w:lang w:eastAsia="x-none"/>
                      </w:rPr>
                      <w:t>)</w:t>
                    </w:r>
                  </w:hyperlink>
                </w:p>
              </w:tc>
              <w:tc>
                <w:tcPr>
                  <w:tcW w:w="22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non-originating materials used</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Heading of non-originating materials used</w:t>
                  </w:r>
                  <w:hyperlink r:id="rId151" w:anchor="ntr2-L_2013054EN.01015101-E0002"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2</w:t>
                    </w:r>
                    <w:r>
                      <w:rPr>
                        <w:rFonts w:ascii="Times New Roman" w:hAnsi="Times New Roman" w:cs="Times New Roman"/>
                        <w:b/>
                        <w:bCs/>
                        <w:noProof/>
                        <w:color w:val="800080"/>
                        <w:lang w:eastAsia="x-none"/>
                      </w:rPr>
                      <w:t>)</w:t>
                    </w:r>
                  </w:hyperlink>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Value of non-originating materials used</w:t>
                  </w:r>
                  <w:hyperlink r:id="rId152" w:anchor="ntr2-L_2013054EN.01015101-E0002"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2</w:t>
                    </w:r>
                    <w:r>
                      <w:rPr>
                        <w:rFonts w:ascii="Times New Roman" w:hAnsi="Times New Roman" w:cs="Times New Roman"/>
                        <w:b/>
                        <w:bCs/>
                        <w:noProof/>
                        <w:color w:val="800080"/>
                        <w:lang w:eastAsia="x-none"/>
                      </w:rPr>
                      <w:t>)</w:t>
                    </w:r>
                  </w:hyperlink>
                  <w:r>
                    <w:rPr>
                      <w:rFonts w:ascii="Times New Roman" w:hAnsi="Times New Roman" w:cs="Times New Roman"/>
                      <w:b/>
                      <w:bCs/>
                      <w:noProof/>
                      <w:lang w:eastAsia="x-none"/>
                    </w:rPr>
                    <w:t> </w:t>
                  </w:r>
                  <w:hyperlink r:id="rId153" w:anchor="ntr3-L_2013054EN.01015101-E0003"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3</w:t>
                    </w:r>
                    <w:r>
                      <w:rPr>
                        <w:rFonts w:ascii="Times New Roman" w:hAnsi="Times New Roman" w:cs="Times New Roman"/>
                        <w:b/>
                        <w:bCs/>
                        <w:noProof/>
                        <w:color w:val="800080"/>
                        <w:lang w:eastAsia="x-none"/>
                      </w:rPr>
                      <w:t>)</w:t>
                    </w:r>
                  </w:hyperlink>
                </w:p>
              </w:tc>
            </w:tr>
            <w:tr w:rsidR="00D74962">
              <w:tc>
                <w:tcPr>
                  <w:tcW w:w="1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2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1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lastRenderedPageBreak/>
                    <w:t> </w:t>
                  </w:r>
                </w:p>
              </w:tc>
              <w:tc>
                <w:tcPr>
                  <w:tcW w:w="22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199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23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640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Total</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lastRenderedPageBreak/>
              <w:t>2.</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All the other materials used in Algeria, Morocco, Tunisia or Turkey to produce these goods originate in Algeria, Morocco, Tunisia or Turkey;</w:t>
            </w: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3.</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following goods have undergone working or processing outside Algeria, Morocco, Tunisia or Turkey in accordance with Article 11 of Appendix I to the Regional Convention on pan-Euro-Mediterranean preferential rules of origin and have acquired the following total added value there: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Description of the goods supplied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Total added value acquired outside, Algeria, Morocco, Tunisia or Turkey</w:t>
            </w:r>
            <w:hyperlink r:id="rId154" w:anchor="ntr4-L_2013054EN.01015101-E0004"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4</w:t>
              </w:r>
              <w:r>
                <w:rPr>
                  <w:rFonts w:ascii="Times New Roman" w:hAnsi="Times New Roman" w:cs="Times New Roman"/>
                  <w:noProof/>
                  <w:color w:val="800080"/>
                  <w:sz w:val="24"/>
                  <w:szCs w:val="24"/>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r>
              <w:rPr>
                <w:rFonts w:ascii="Times New Roman" w:hAnsi="Times New Roman" w:cs="Times New Roman"/>
                <w:i/>
                <w:iCs/>
                <w:noProof/>
                <w:sz w:val="24"/>
                <w:szCs w:val="24"/>
                <w:lang w:eastAsia="x-none"/>
              </w:rPr>
              <w:t>(Place and date)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r>
              <w:rPr>
                <w:rFonts w:ascii="Times New Roman" w:hAnsi="Times New Roman" w:cs="Times New Roman"/>
                <w:i/>
                <w:iCs/>
                <w:noProof/>
                <w:sz w:val="24"/>
                <w:szCs w:val="24"/>
                <w:lang w:eastAsia="x-none"/>
              </w:rPr>
              <w:t>(Address and signature of the supplier; in addition the name of the person signing the declaration has to be indicated in clear script)</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55" w:anchor="ntc1-L_2013054EN.01015101-E0001"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1</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When the invoice, delivery note or other commercial document to which the declaration is annexed relates to different kinds of goods, or to goods which do not incorporate non-originating materials to the same extent, the supplier must clearly differentiate them.</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Example: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The document relates to different models of electric motor of heading 8501 to be used in the manufacture of washing machines of heading 8450. The nature and value of the non-originating materials used in the manufacture of these motors differ from one model to another. The models must therefore be differentiated in the first column and the indications in the other columns must be provided separately for each of the models to make it possible for the manufacturer of washing machines to make a correct assessment of the originating status of his products depending on which model of electrical motor he uses.</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56" w:anchor="ntc2-L_2013054EN.01015101-E0002"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2</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The indications requested in these columns should only be given if they are necessary.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Examples: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65"/>
        <w:gridCol w:w="8845"/>
      </w:tblGrid>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88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19"/>
                <w:szCs w:val="19"/>
                <w:lang w:eastAsia="x-none"/>
              </w:rPr>
            </w:pPr>
            <w:r>
              <w:rPr>
                <w:rFonts w:ascii="Times New Roman" w:hAnsi="Times New Roman" w:cs="Times New Roman"/>
                <w:noProof/>
                <w:sz w:val="19"/>
                <w:szCs w:val="19"/>
                <w:lang w:eastAsia="x-none"/>
              </w:rPr>
              <w:t>The rule for garments of ex Chapter 62 says that non-originating yarn may be used. If a manufacturer of such garments in Tunisia uses fabric imported from Turkey which has been obtained there by weaving non-originating yarn, it is sufficient for Turkey supplier to describe in his declaration the non-originating material used as yarn, without it being necessary to indicate the heading and value of such yarn.</w:t>
            </w:r>
          </w:p>
        </w:tc>
      </w:tr>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88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19"/>
                <w:szCs w:val="19"/>
                <w:lang w:eastAsia="x-none"/>
              </w:rPr>
            </w:pPr>
            <w:r>
              <w:rPr>
                <w:rFonts w:ascii="Times New Roman" w:hAnsi="Times New Roman" w:cs="Times New Roman"/>
                <w:noProof/>
                <w:sz w:val="19"/>
                <w:szCs w:val="19"/>
                <w:lang w:eastAsia="x-none"/>
              </w:rPr>
              <w:t xml:space="preserve">A producer of iron of heading 7217 who has produced it from non-originating iron bars should indicate in the second column </w:t>
            </w:r>
            <w:r>
              <w:rPr>
                <w:rFonts w:ascii="Times New Roman" w:eastAsia="Times New Roman" w:hAnsi="Times New Roman" w:cs="Times New Roman"/>
                <w:noProof/>
                <w:sz w:val="19"/>
                <w:szCs w:val="19"/>
                <w:lang w:eastAsia="x-none"/>
              </w:rPr>
              <w:t xml:space="preserve">‘bars of iron’. Where this wire is to be used in the production of a machine, for which the rule contains a </w:t>
            </w:r>
            <w:r>
              <w:rPr>
                <w:rFonts w:ascii="Times New Roman" w:eastAsia="Times New Roman" w:hAnsi="Times New Roman" w:cs="Times New Roman"/>
                <w:noProof/>
                <w:sz w:val="19"/>
                <w:szCs w:val="19"/>
                <w:lang w:eastAsia="x-none"/>
              </w:rPr>
              <w:lastRenderedPageBreak/>
              <w:t>limitation for all non-originating materials used to a certain percentage value, it is necessary to indicate in the third column the value of non-originating bars.</w:t>
            </w:r>
          </w:p>
        </w:tc>
      </w:tr>
    </w:tbl>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57" w:anchor="ntc3-L_2013054EN.01015101-E0003"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3</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t>
      </w:r>
      <w:r w:rsidR="00935DDF">
        <w:rPr>
          <w:rFonts w:ascii="Times New Roman" w:eastAsia="Times New Roman" w:hAnsi="Times New Roman" w:cs="Times New Roman"/>
          <w:noProof/>
          <w:color w:val="444444"/>
          <w:sz w:val="19"/>
          <w:szCs w:val="19"/>
          <w:lang w:eastAsia="x-none"/>
        </w:rPr>
        <w:t>‘Value of materials’ means the customs value at the time of importation of the non-originating materials used, or, if this is not known and cannot be ascertained, the first ascertainable price paid for the materials in Algeria, Morocco, Tunisia or Turkey. The exact value for each non-originating material used be given per unit of the goods specified in the first column.</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58" w:anchor="ntc4-L_2013054EN.01015101-E0004"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4</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t>
      </w:r>
      <w:r w:rsidR="00935DDF">
        <w:rPr>
          <w:rFonts w:ascii="Times New Roman" w:eastAsia="Times New Roman" w:hAnsi="Times New Roman" w:cs="Times New Roman"/>
          <w:noProof/>
          <w:color w:val="444444"/>
          <w:sz w:val="19"/>
          <w:szCs w:val="19"/>
          <w:lang w:eastAsia="x-none"/>
        </w:rPr>
        <w:t>‘Total added value’ means all costs accumulated outside Algeria, Morocco, Tunisia or Turkey, including the value of all materials added there. The exact total added value acquired outside Algeria, Morocco, Tunisia or Turkey must be given per unit of the goods specified in the first column.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Long-term supplier</w:t>
      </w:r>
      <w:r>
        <w:rPr>
          <w:rFonts w:ascii="Times New Roman" w:eastAsia="Times New Roman" w:hAnsi="Times New Roman" w:cs="Times New Roman"/>
          <w:b/>
          <w:bCs/>
          <w:noProof/>
          <w:color w:val="444444"/>
          <w:sz w:val="24"/>
          <w:szCs w:val="24"/>
          <w:lang w:eastAsia="x-none"/>
        </w:rPr>
        <w:t>’s declaration for goods which have undergone working or processing in Algeria, Morocco, Tunisia or Turkey without having obtained preferential originating status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long-term supplier</w:t>
      </w:r>
      <w:r>
        <w:rPr>
          <w:rFonts w:ascii="Times New Roman" w:eastAsia="Times New Roman" w:hAnsi="Times New Roman" w:cs="Times New Roman"/>
          <w:noProof/>
          <w:color w:val="444444"/>
          <w:sz w:val="24"/>
          <w:szCs w:val="24"/>
          <w:lang w:eastAsia="x-none"/>
        </w:rPr>
        <w:t>’s declaration, the text of which is given below, must be made out in accordance with the footnotes. However, the footnotes do not have to be reproduced.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LONG-TERM SUPPLIER</w:t>
      </w:r>
      <w:r>
        <w:rPr>
          <w:rFonts w:ascii="Times New Roman" w:eastAsia="Times New Roman" w:hAnsi="Times New Roman" w:cs="Times New Roman"/>
          <w:b/>
          <w:bCs/>
          <w:noProof/>
          <w:color w:val="444444"/>
          <w:sz w:val="24"/>
          <w:szCs w:val="24"/>
          <w:lang w:eastAsia="x-none"/>
        </w:rPr>
        <w:t>’S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eastAsia="Times New Roman" w:hAnsi="Times New Roman" w:cs="Times New Roman"/>
          <w:b/>
          <w:bCs/>
          <w:noProof/>
          <w:color w:val="444444"/>
          <w:sz w:val="24"/>
          <w:szCs w:val="24"/>
          <w:lang w:eastAsia="x-none"/>
        </w:rPr>
        <w:t>for goods which have undergone working or processing in Algeria, Morocco, Tunisia or Turkey without having obtained preferential originating status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I, the undersigned, supplier of the goods covered by this document, which are regularly supplied to </w:t>
      </w:r>
      <w:r>
        <w:rPr>
          <w:rFonts w:ascii="Times New Roman" w:eastAsia="Times New Roman" w:hAnsi="Times New Roman" w:cs="Times New Roman"/>
          <w:noProof/>
          <w:color w:val="444444"/>
          <w:sz w:val="24"/>
          <w:szCs w:val="24"/>
          <w:lang w:eastAsia="x-none"/>
        </w:rPr>
        <w:t>…</w:t>
      </w:r>
      <w:hyperlink r:id="rId159" w:anchor="ntr1-L_2013054EN.01015301-E0001"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1</w:t>
        </w:r>
        <w:r>
          <w:rPr>
            <w:rFonts w:ascii="Times New Roman" w:hAnsi="Times New Roman" w:cs="Times New Roman"/>
            <w:noProof/>
            <w:color w:val="800080"/>
            <w:sz w:val="24"/>
            <w:szCs w:val="24"/>
            <w:lang w:eastAsia="x-none"/>
          </w:rPr>
          <w:t>)</w:t>
        </w:r>
      </w:hyperlink>
      <w:r>
        <w:rPr>
          <w:rFonts w:ascii="Times New Roman" w:hAnsi="Times New Roman" w:cs="Times New Roman"/>
          <w:noProof/>
          <w:color w:val="444444"/>
          <w:sz w:val="24"/>
          <w:szCs w:val="24"/>
          <w:lang w:eastAsia="x-none"/>
        </w:rPr>
        <w:t> declare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85"/>
        <w:gridCol w:w="2689"/>
        <w:gridCol w:w="6036"/>
      </w:tblGrid>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1.</w:t>
            </w:r>
          </w:p>
        </w:tc>
        <w:tc>
          <w:tcPr>
            <w:tcW w:w="87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following materials which do not originate in Algeria, Morocco, Tunisia or Turkey have been used in Algeria, Morocco, Tunisia or Turkey to produce these goods: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010"/>
              <w:gridCol w:w="2212"/>
              <w:gridCol w:w="2183"/>
              <w:gridCol w:w="2199"/>
            </w:tblGrid>
            <w:tr w:rsidR="00D74962">
              <w:tc>
                <w:tcPr>
                  <w:tcW w:w="201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the goods supplied</w:t>
                  </w:r>
                  <w:hyperlink r:id="rId160" w:anchor="ntr2-L_2013054EN.01015301-E0002"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2</w:t>
                    </w:r>
                    <w:r>
                      <w:rPr>
                        <w:rFonts w:ascii="Times New Roman" w:hAnsi="Times New Roman" w:cs="Times New Roman"/>
                        <w:b/>
                        <w:bCs/>
                        <w:noProof/>
                        <w:color w:val="800080"/>
                        <w:lang w:eastAsia="x-none"/>
                      </w:rPr>
                      <w:t>)</w:t>
                    </w:r>
                  </w:hyperlink>
                </w:p>
              </w:tc>
              <w:tc>
                <w:tcPr>
                  <w:tcW w:w="221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non-originating materials used</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Heading of non-originating materials used</w:t>
                  </w:r>
                  <w:hyperlink r:id="rId161" w:anchor="ntr3-L_2013054EN.01015301-E0003"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3</w:t>
                    </w:r>
                    <w:r>
                      <w:rPr>
                        <w:rFonts w:ascii="Times New Roman" w:hAnsi="Times New Roman" w:cs="Times New Roman"/>
                        <w:b/>
                        <w:bCs/>
                        <w:noProof/>
                        <w:color w:val="800080"/>
                        <w:lang w:eastAsia="x-none"/>
                      </w:rPr>
                      <w:t>)</w:t>
                    </w:r>
                  </w:hyperlink>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Value of non-originating materials used</w:t>
                  </w:r>
                  <w:hyperlink r:id="rId162" w:anchor="ntr3-L_2013054EN.01015301-E0003"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3</w:t>
                    </w:r>
                    <w:r>
                      <w:rPr>
                        <w:rFonts w:ascii="Times New Roman" w:hAnsi="Times New Roman" w:cs="Times New Roman"/>
                        <w:b/>
                        <w:bCs/>
                        <w:noProof/>
                        <w:color w:val="800080"/>
                        <w:lang w:eastAsia="x-none"/>
                      </w:rPr>
                      <w:t>)</w:t>
                    </w:r>
                  </w:hyperlink>
                  <w:r>
                    <w:rPr>
                      <w:rFonts w:ascii="Times New Roman" w:hAnsi="Times New Roman" w:cs="Times New Roman"/>
                      <w:b/>
                      <w:bCs/>
                      <w:noProof/>
                      <w:lang w:eastAsia="x-none"/>
                    </w:rPr>
                    <w:t> </w:t>
                  </w:r>
                  <w:hyperlink r:id="rId163" w:anchor="ntr4-L_2013054EN.01015301-E0004"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4</w:t>
                    </w:r>
                    <w:r>
                      <w:rPr>
                        <w:rFonts w:ascii="Times New Roman" w:hAnsi="Times New Roman" w:cs="Times New Roman"/>
                        <w:b/>
                        <w:bCs/>
                        <w:noProof/>
                        <w:color w:val="800080"/>
                        <w:lang w:eastAsia="x-none"/>
                      </w:rPr>
                      <w:t>)</w:t>
                    </w:r>
                  </w:hyperlink>
                </w:p>
              </w:tc>
            </w:tr>
            <w:tr w:rsidR="00D74962">
              <w:tc>
                <w:tcPr>
                  <w:tcW w:w="201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21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201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21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2010"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212"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640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Total</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2.</w:t>
            </w:r>
          </w:p>
        </w:tc>
        <w:tc>
          <w:tcPr>
            <w:tcW w:w="87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All the other materials used in Algeria, Morocco, Tunisia or Turkey to produce these goods originate in Algeria, Morocco, Tunisia or Turkey;</w:t>
            </w: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3.</w:t>
            </w:r>
          </w:p>
        </w:tc>
        <w:tc>
          <w:tcPr>
            <w:tcW w:w="8725"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following goods have undergone working or processing outside Algeria, Morocco, Tunisia or Turkey in accordance with Article 11 of Appendix I to the Regional Convention on pan-Euro-Mediterranean preferential rules of origin and have acquired the following total added value there:</w:t>
            </w:r>
          </w:p>
        </w:tc>
      </w:tr>
      <w:tr w:rsidR="00D74962">
        <w:tc>
          <w:tcPr>
            <w:tcW w:w="2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the goods supplied</w:t>
            </w:r>
          </w:p>
        </w:tc>
        <w:tc>
          <w:tcPr>
            <w:tcW w:w="603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Total added value acquired outside Algeria, Morocco, Tunisia or Turkey</w:t>
            </w:r>
            <w:hyperlink r:id="rId164" w:anchor="ntr5-L_2013054EN.01015301-E0005"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5</w:t>
              </w:r>
              <w:r>
                <w:rPr>
                  <w:rFonts w:ascii="Times New Roman" w:hAnsi="Times New Roman" w:cs="Times New Roman"/>
                  <w:b/>
                  <w:bCs/>
                  <w:noProof/>
                  <w:color w:val="800080"/>
                  <w:lang w:eastAsia="x-none"/>
                </w:rPr>
                <w:t>)</w:t>
              </w:r>
            </w:hyperlink>
          </w:p>
        </w:tc>
      </w:tr>
      <w:tr w:rsidR="00D74962">
        <w:tc>
          <w:tcPr>
            <w:tcW w:w="2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603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2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603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2974" w:type="dxa"/>
            <w:gridSpan w:val="2"/>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603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This declaration is valid for all subsequent consignments of these goods dispatched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from </w:t>
      </w: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to …</w:t>
      </w:r>
      <w:hyperlink r:id="rId165" w:anchor="ntr6-L_2013054EN.01015301-E0006"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6</w:t>
        </w:r>
        <w:r>
          <w:rPr>
            <w:rFonts w:ascii="Times New Roman" w:hAnsi="Times New Roman" w:cs="Times New Roman"/>
            <w:noProof/>
            <w:color w:val="800080"/>
            <w:sz w:val="24"/>
            <w:szCs w:val="24"/>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I undertake to inform </w:t>
      </w:r>
      <w:r>
        <w:rPr>
          <w:rFonts w:ascii="Times New Roman" w:eastAsia="Times New Roman" w:hAnsi="Times New Roman" w:cs="Times New Roman"/>
          <w:noProof/>
          <w:color w:val="444444"/>
          <w:sz w:val="24"/>
          <w:szCs w:val="24"/>
          <w:lang w:eastAsia="x-none"/>
        </w:rPr>
        <w:t>…</w:t>
      </w:r>
      <w:hyperlink r:id="rId166" w:anchor="ntr1-L_2013054EN.01015301-E0001"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1</w:t>
        </w:r>
        <w:r>
          <w:rPr>
            <w:rFonts w:ascii="Times New Roman" w:hAnsi="Times New Roman" w:cs="Times New Roman"/>
            <w:noProof/>
            <w:color w:val="800080"/>
            <w:sz w:val="24"/>
            <w:szCs w:val="24"/>
            <w:lang w:eastAsia="x-none"/>
          </w:rPr>
          <w:t>)</w:t>
        </w:r>
      </w:hyperlink>
      <w:r>
        <w:rPr>
          <w:rFonts w:ascii="Times New Roman" w:hAnsi="Times New Roman" w:cs="Times New Roman"/>
          <w:noProof/>
          <w:color w:val="444444"/>
          <w:sz w:val="24"/>
          <w:szCs w:val="24"/>
          <w:lang w:eastAsia="x-none"/>
        </w:rPr>
        <w:t> immediately if this declaration is no longer valid.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lastRenderedPageBreak/>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r>
        <w:rPr>
          <w:rFonts w:ascii="Times New Roman" w:hAnsi="Times New Roman" w:cs="Times New Roman"/>
          <w:i/>
          <w:iCs/>
          <w:noProof/>
          <w:color w:val="444444"/>
          <w:sz w:val="24"/>
          <w:szCs w:val="24"/>
          <w:lang w:eastAsia="x-none"/>
        </w:rPr>
        <w:t>Place and date</w:t>
      </w:r>
      <w:r>
        <w:rPr>
          <w:rFonts w:ascii="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r>
        <w:rPr>
          <w:rFonts w:ascii="Times New Roman" w:hAnsi="Times New Roman" w:cs="Times New Roman"/>
          <w:i/>
          <w:iCs/>
          <w:noProof/>
          <w:color w:val="444444"/>
          <w:sz w:val="24"/>
          <w:szCs w:val="24"/>
          <w:lang w:eastAsia="x-none"/>
        </w:rPr>
        <w:t>Address and signature of the supplier; in addition the name of the person signing the declaration has to be indicated in clear script</w:t>
      </w:r>
      <w:r>
        <w:rPr>
          <w:rFonts w:ascii="Times New Roman" w:hAnsi="Times New Roman" w:cs="Times New Roman"/>
          <w:noProof/>
          <w:color w:val="444444"/>
          <w:sz w:val="24"/>
          <w:szCs w:val="24"/>
          <w:lang w:eastAsia="x-none"/>
        </w:rPr>
        <w:t>)</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67" w:anchor="ntc1-L_2013054EN.01015301-E0001"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1</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Name and address of the customer</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68" w:anchor="ntc2-L_2013054EN.01015301-E0002"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2</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When the invoice, delivery note or other commercial document to which the declaration is annexed relates to different kinds of goods, or to goods which do not incorporate non-originating materials to the same extent, the supplier must clearly differentiate them.</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Example: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The document relates to different models of electric motor of heading 8501 to be used in the manufacture of washing machines of heading 8450. The nature and value of the non-originating materials used in the manufacture of these motors differ from one model to another. The models must therefore be differentiated in the first column and the indications in the other columns must be provided separately for each of the models to make it possible for the manufacturer of washing machines to make a correct assessment of the originating status of his products depending on which model of electrical motor he uses.</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69" w:anchor="ntc3-L_2013054EN.01015301-E0003"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3</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The indications requested in these columns should only be given if they are necessary.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Examples: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65"/>
        <w:gridCol w:w="8845"/>
      </w:tblGrid>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88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19"/>
                <w:szCs w:val="19"/>
                <w:lang w:eastAsia="x-none"/>
              </w:rPr>
            </w:pPr>
            <w:r>
              <w:rPr>
                <w:rFonts w:ascii="Times New Roman" w:hAnsi="Times New Roman" w:cs="Times New Roman"/>
                <w:noProof/>
                <w:sz w:val="19"/>
                <w:szCs w:val="19"/>
                <w:lang w:eastAsia="x-none"/>
              </w:rPr>
              <w:t>The rule for garments of ex Chapter 62 says that non-originating yarn may be used. If a manufacturer of such garments in Tunisia uses fabric imported from Turkey which has been obtained there by weaving non-originating yarn, it is sufficient for Turkey supplier to describe in his declaration the non-originating material used as yarn, without it being necessary to indicate the heading and value of such yarn.</w:t>
            </w:r>
          </w:p>
        </w:tc>
      </w:tr>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88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19"/>
                <w:szCs w:val="19"/>
                <w:lang w:eastAsia="x-none"/>
              </w:rPr>
            </w:pPr>
            <w:r>
              <w:rPr>
                <w:rFonts w:ascii="Times New Roman" w:hAnsi="Times New Roman" w:cs="Times New Roman"/>
                <w:noProof/>
                <w:sz w:val="19"/>
                <w:szCs w:val="19"/>
                <w:lang w:eastAsia="x-none"/>
              </w:rPr>
              <w:t xml:space="preserve">A producer of iron of heading 7217 who has produced it from non-originating iron bars should indicate in the second column </w:t>
            </w:r>
            <w:r>
              <w:rPr>
                <w:rFonts w:ascii="Times New Roman" w:eastAsia="Times New Roman" w:hAnsi="Times New Roman" w:cs="Times New Roman"/>
                <w:noProof/>
                <w:sz w:val="19"/>
                <w:szCs w:val="19"/>
                <w:lang w:eastAsia="x-none"/>
              </w:rPr>
              <w:t>‘bars of iron’. Where this wire is to be used in the production of a machine, for which the rule contains a limitation for all non-originating materials used to a certain percentage value, it is necessary to indicate in the third column the value of non-originating bars.</w:t>
            </w:r>
          </w:p>
        </w:tc>
      </w:tr>
    </w:tbl>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70" w:anchor="ntc4-L_2013054EN.01015301-E0004"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4</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t>
      </w:r>
      <w:r w:rsidR="00935DDF">
        <w:rPr>
          <w:rFonts w:ascii="Times New Roman" w:eastAsia="Times New Roman" w:hAnsi="Times New Roman" w:cs="Times New Roman"/>
          <w:noProof/>
          <w:color w:val="444444"/>
          <w:sz w:val="19"/>
          <w:szCs w:val="19"/>
          <w:lang w:eastAsia="x-none"/>
        </w:rPr>
        <w:t>‘Value of materials’ means the customs value at the time of importation of the non-originating materials used, or, if this is not known and cannot be ascertained, the first ascertainable price paid for the materials in Algeria, Morocco, Tunisia or Turkey. The exact value for each non-originating material used be given per unit of the goods specified in the first column.</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71" w:anchor="ntc5-L_2013054EN.01015301-E0005"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5</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t>
      </w:r>
      <w:r w:rsidR="00935DDF">
        <w:rPr>
          <w:rFonts w:ascii="Times New Roman" w:eastAsia="Times New Roman" w:hAnsi="Times New Roman" w:cs="Times New Roman"/>
          <w:noProof/>
          <w:color w:val="444444"/>
          <w:sz w:val="19"/>
          <w:szCs w:val="19"/>
          <w:lang w:eastAsia="x-none"/>
        </w:rPr>
        <w:t>‘Total added value’ means all costs accumulated outside Algeria, Morocco, Tunisia or Turkey, including the value of all materials added there. The exact total added value acquired outside Algeria, Morocco, Tunisia or Turkey must be given per unit of the goods specified in the first column.</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72" w:anchor="ntc6-L_2013054EN.01015301-E0006"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6</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Insert dates. The period of validity of the long-term supplier</w:t>
      </w:r>
      <w:r w:rsidR="00935DDF">
        <w:rPr>
          <w:rFonts w:ascii="Times New Roman" w:eastAsia="Times New Roman" w:hAnsi="Times New Roman" w:cs="Times New Roman"/>
          <w:noProof/>
          <w:color w:val="444444"/>
          <w:sz w:val="19"/>
          <w:szCs w:val="19"/>
          <w:lang w:eastAsia="x-none"/>
        </w:rPr>
        <w:t>’s declaration should not normally exceed 12 months, subject to the conditions laid down by the customs authorities of the country where the long-term supplier’s declaration is made out.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Supplier</w:t>
      </w:r>
      <w:r>
        <w:rPr>
          <w:rFonts w:ascii="Times New Roman" w:eastAsia="Times New Roman" w:hAnsi="Times New Roman" w:cs="Times New Roman"/>
          <w:b/>
          <w:bCs/>
          <w:noProof/>
          <w:color w:val="444444"/>
          <w:sz w:val="24"/>
          <w:szCs w:val="24"/>
          <w:lang w:eastAsia="x-none"/>
        </w:rPr>
        <w:t>’s declaration for goods which have undergone working or processing in an EFTA State or Tunisia without having obtained preferential originating status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supplier</w:t>
      </w:r>
      <w:r>
        <w:rPr>
          <w:rFonts w:ascii="Times New Roman" w:eastAsia="Times New Roman" w:hAnsi="Times New Roman" w:cs="Times New Roman"/>
          <w:noProof/>
          <w:color w:val="444444"/>
          <w:sz w:val="24"/>
          <w:szCs w:val="24"/>
          <w:lang w:eastAsia="x-none"/>
        </w:rPr>
        <w:t>’s declaration, the text of which is given below, must be made out in accordance with the footnotes. However, the footnotes do not have to be reproduced.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SUPPLIER</w:t>
      </w:r>
      <w:r>
        <w:rPr>
          <w:rFonts w:ascii="Times New Roman" w:eastAsia="Times New Roman" w:hAnsi="Times New Roman" w:cs="Times New Roman"/>
          <w:b/>
          <w:bCs/>
          <w:noProof/>
          <w:color w:val="444444"/>
          <w:sz w:val="24"/>
          <w:szCs w:val="24"/>
          <w:lang w:eastAsia="x-none"/>
        </w:rPr>
        <w:t>’S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eastAsia="Times New Roman" w:hAnsi="Times New Roman" w:cs="Times New Roman"/>
          <w:b/>
          <w:bCs/>
          <w:noProof/>
          <w:color w:val="444444"/>
          <w:sz w:val="24"/>
          <w:szCs w:val="24"/>
          <w:lang w:eastAsia="x-none"/>
        </w:rPr>
        <w:t>for goods which have undergone working or processing in an EFTA State or Tunisia without having obtained preferential originating status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I, the undersigned, supplier of the goods covered by the annexed document, declare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85"/>
        <w:gridCol w:w="8725"/>
      </w:tblGrid>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1.</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following materials which do not originate in an EFTA State or Tunisia have been used in an EFTA State or Tunisia to produce these goods: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076"/>
              <w:gridCol w:w="2146"/>
              <w:gridCol w:w="2183"/>
              <w:gridCol w:w="2199"/>
            </w:tblGrid>
            <w:tr w:rsidR="00D74962">
              <w:tc>
                <w:tcPr>
                  <w:tcW w:w="207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lastRenderedPageBreak/>
                    <w:t>Description of the goods supplied</w:t>
                  </w:r>
                  <w:hyperlink r:id="rId173" w:anchor="ntr1-L_2013054EN.01015501-E0001"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1</w:t>
                    </w:r>
                    <w:r>
                      <w:rPr>
                        <w:rFonts w:ascii="Times New Roman" w:hAnsi="Times New Roman" w:cs="Times New Roman"/>
                        <w:b/>
                        <w:bCs/>
                        <w:noProof/>
                        <w:color w:val="800080"/>
                        <w:lang w:eastAsia="x-none"/>
                      </w:rPr>
                      <w:t>)</w:t>
                    </w:r>
                  </w:hyperlink>
                </w:p>
              </w:tc>
              <w:tc>
                <w:tcPr>
                  <w:tcW w:w="214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non-originating materials used</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Heading of non-originating materials used</w:t>
                  </w:r>
                  <w:hyperlink r:id="rId174" w:anchor="ntr2-L_2013054EN.01015501-E0002"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2</w:t>
                    </w:r>
                    <w:r>
                      <w:rPr>
                        <w:rFonts w:ascii="Times New Roman" w:hAnsi="Times New Roman" w:cs="Times New Roman"/>
                        <w:b/>
                        <w:bCs/>
                        <w:noProof/>
                        <w:color w:val="800080"/>
                        <w:lang w:eastAsia="x-none"/>
                      </w:rPr>
                      <w:t>)</w:t>
                    </w:r>
                  </w:hyperlink>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Value of non-originating materials used</w:t>
                  </w:r>
                  <w:hyperlink r:id="rId175" w:anchor="ntr2-L_2013054EN.01015501-E0002"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2</w:t>
                    </w:r>
                    <w:r>
                      <w:rPr>
                        <w:rFonts w:ascii="Times New Roman" w:hAnsi="Times New Roman" w:cs="Times New Roman"/>
                        <w:b/>
                        <w:bCs/>
                        <w:noProof/>
                        <w:color w:val="800080"/>
                        <w:lang w:eastAsia="x-none"/>
                      </w:rPr>
                      <w:t>)</w:t>
                    </w:r>
                  </w:hyperlink>
                  <w:r>
                    <w:rPr>
                      <w:rFonts w:ascii="Times New Roman" w:hAnsi="Times New Roman" w:cs="Times New Roman"/>
                      <w:b/>
                      <w:bCs/>
                      <w:noProof/>
                      <w:lang w:eastAsia="x-none"/>
                    </w:rPr>
                    <w:t> </w:t>
                  </w:r>
                  <w:hyperlink r:id="rId176" w:anchor="ntr3-L_2013054EN.01015501-E0003"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3</w:t>
                    </w:r>
                    <w:r>
                      <w:rPr>
                        <w:rFonts w:ascii="Times New Roman" w:hAnsi="Times New Roman" w:cs="Times New Roman"/>
                        <w:b/>
                        <w:bCs/>
                        <w:noProof/>
                        <w:color w:val="800080"/>
                        <w:lang w:eastAsia="x-none"/>
                      </w:rPr>
                      <w:t>)</w:t>
                    </w:r>
                  </w:hyperlink>
                </w:p>
              </w:tc>
            </w:tr>
            <w:tr w:rsidR="00D74962">
              <w:tc>
                <w:tcPr>
                  <w:tcW w:w="207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4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207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4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207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4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640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Total</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lastRenderedPageBreak/>
              <w:t>2.</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All the other materials used in an EFTA State or Tunisia to produce these goods originate in an EFTA State or Tunisia;</w:t>
            </w: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3.</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following goods have undergone working or processing outside an EFTA State or Tunisia in accordance with Article 11 of Appendix I to the Regional Convention on pan-Euro-Mediterranean preferential rules of origin and have acquired the following total added value there: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Description of the goods supplied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Total added value acquired outside an EFTA State or Tunisia</w:t>
            </w:r>
            <w:hyperlink r:id="rId177" w:anchor="ntr4-L_2013054EN.01015501-E0004"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4</w:t>
              </w:r>
              <w:r>
                <w:rPr>
                  <w:rFonts w:ascii="Times New Roman" w:hAnsi="Times New Roman" w:cs="Times New Roman"/>
                  <w:noProof/>
                  <w:color w:val="800080"/>
                  <w:sz w:val="24"/>
                  <w:szCs w:val="24"/>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r>
              <w:rPr>
                <w:rFonts w:ascii="Times New Roman" w:hAnsi="Times New Roman" w:cs="Times New Roman"/>
                <w:i/>
                <w:iCs/>
                <w:noProof/>
                <w:sz w:val="24"/>
                <w:szCs w:val="24"/>
                <w:lang w:eastAsia="x-none"/>
              </w:rPr>
              <w:t>(Place and date)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24"/>
                <w:szCs w:val="24"/>
                <w:lang w:eastAsia="x-none"/>
              </w:rPr>
            </w:pPr>
            <w:r>
              <w:rPr>
                <w:rFonts w:ascii="Times New Roman" w:eastAsia="Times New Roman" w:hAnsi="Times New Roman" w:cs="Times New Roman"/>
                <w:noProof/>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sz w:val="24"/>
                <w:szCs w:val="24"/>
                <w:lang w:eastAsia="x-none"/>
              </w:rPr>
            </w:pPr>
            <w:r>
              <w:rPr>
                <w:rFonts w:ascii="Times New Roman" w:hAnsi="Times New Roman" w:cs="Times New Roman"/>
                <w:i/>
                <w:iCs/>
                <w:noProof/>
                <w:sz w:val="24"/>
                <w:szCs w:val="24"/>
                <w:lang w:eastAsia="x-none"/>
              </w:rPr>
              <w:t>(Address and signature of the supplier; in addition the name of the person signing the declaration has to be indicated in clear script)</w:t>
            </w:r>
          </w:p>
        </w:tc>
      </w:tr>
    </w:tbl>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78" w:anchor="ntc1-L_2013054EN.01015501-E0001"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1</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When the invoice, delivery note or other commercial document to which the declaration is annexed relates to different kinds of goods, or to goods which do not incorporate non-originating materials to the same extent, the supplier must clearly differentiate them.</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Example: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The document relates to different models of electric motor of heading 8501 to be used in the manufacture of washing machines of heading 8450. The nature and value of the non-originating materials used in the manufacture of these motors differ from one model to another. The models must therefore be differentiated in the first column and the indications in the other columns must be provided separately for each of the models to make it possible for the manufacturer of washing machines to make a correct assessment of the originating status of his products depending on which model of electrical motor he uses.</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79" w:anchor="ntc2-L_2013054EN.01015501-E0002"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2</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The indications requested in these columns should only be given if they are necessary.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Examples: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65"/>
        <w:gridCol w:w="8845"/>
      </w:tblGrid>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lastRenderedPageBreak/>
              <w:t> </w:t>
            </w:r>
          </w:p>
        </w:tc>
        <w:tc>
          <w:tcPr>
            <w:tcW w:w="88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19"/>
                <w:szCs w:val="19"/>
                <w:lang w:eastAsia="x-none"/>
              </w:rPr>
            </w:pPr>
            <w:r>
              <w:rPr>
                <w:rFonts w:ascii="Times New Roman" w:hAnsi="Times New Roman" w:cs="Times New Roman"/>
                <w:noProof/>
                <w:sz w:val="19"/>
                <w:szCs w:val="19"/>
                <w:lang w:eastAsia="x-none"/>
              </w:rPr>
              <w:t>The rule for garments of ex Chapter 62 says that non-originating yarn may be used. If a manufacturer of such garments in Tunisia uses fabric imported from an EFTA State which has been obtained there by weaving non-originating yarn, it is sufficient for the EFTA State supplier to describe in his declaration the non-originating material used as yarn, without it being necessary to indicate the heading and value of such yarn.</w:t>
            </w:r>
          </w:p>
        </w:tc>
      </w:tr>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88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19"/>
                <w:szCs w:val="19"/>
                <w:lang w:eastAsia="x-none"/>
              </w:rPr>
            </w:pPr>
            <w:r>
              <w:rPr>
                <w:rFonts w:ascii="Times New Roman" w:hAnsi="Times New Roman" w:cs="Times New Roman"/>
                <w:noProof/>
                <w:sz w:val="19"/>
                <w:szCs w:val="19"/>
                <w:lang w:eastAsia="x-none"/>
              </w:rPr>
              <w:t xml:space="preserve">A producer of iron of heading 7217 who has produced it from non-originating iron bars should indicate in the second column </w:t>
            </w:r>
            <w:r>
              <w:rPr>
                <w:rFonts w:ascii="Times New Roman" w:eastAsia="Times New Roman" w:hAnsi="Times New Roman" w:cs="Times New Roman"/>
                <w:noProof/>
                <w:sz w:val="19"/>
                <w:szCs w:val="19"/>
                <w:lang w:eastAsia="x-none"/>
              </w:rPr>
              <w:t>‘bars of iron’. Where this wire is to be used in the production of a machine, for which the rule contains a limitation for all non-originating materials used to a certain percentage value, it is necessary to indicate in the third column the value of non-originating bars.</w:t>
            </w:r>
          </w:p>
        </w:tc>
      </w:tr>
    </w:tbl>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80" w:anchor="ntc3-L_2013054EN.01015501-E0003"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3</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t>
      </w:r>
      <w:r w:rsidR="00935DDF">
        <w:rPr>
          <w:rFonts w:ascii="Times New Roman" w:eastAsia="Times New Roman" w:hAnsi="Times New Roman" w:cs="Times New Roman"/>
          <w:noProof/>
          <w:color w:val="444444"/>
          <w:sz w:val="19"/>
          <w:szCs w:val="19"/>
          <w:lang w:eastAsia="x-none"/>
        </w:rPr>
        <w:t>‘Value of materials’ means the customs value at the time of importation of the non-originating materials used, or, if this is not known and cannot be ascertained, the first ascertainable price paid for the materials in an EFTA State or Tunisia. The exact value for each non-originating material used be given per unit of the goods specified in the first column.</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81" w:anchor="ntc4-L_2013054EN.01015501-E0004"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4</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t>
      </w:r>
      <w:r w:rsidR="00935DDF">
        <w:rPr>
          <w:rFonts w:ascii="Times New Roman" w:eastAsia="Times New Roman" w:hAnsi="Times New Roman" w:cs="Times New Roman"/>
          <w:noProof/>
          <w:color w:val="444444"/>
          <w:sz w:val="19"/>
          <w:szCs w:val="19"/>
          <w:lang w:eastAsia="x-none"/>
        </w:rPr>
        <w:t>‘Total added value’ means all costs accumulated outside an EFTA State or Tunisia, including the value of all materials added there. The exact total added value acquired outside an EFTA State or Tunisia must be given per unit of the goods specified in the first column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ANNEX F</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Long-term supplier</w:t>
      </w:r>
      <w:r>
        <w:rPr>
          <w:rFonts w:ascii="Times New Roman" w:eastAsia="Times New Roman" w:hAnsi="Times New Roman" w:cs="Times New Roman"/>
          <w:b/>
          <w:bCs/>
          <w:noProof/>
          <w:color w:val="444444"/>
          <w:sz w:val="24"/>
          <w:szCs w:val="24"/>
          <w:lang w:eastAsia="x-none"/>
        </w:rPr>
        <w:t>’s declaration for goods which have undergone working or processing in an EFTA State or Tunisia without having obtained preferential originating status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The long-term supplier</w:t>
      </w:r>
      <w:r>
        <w:rPr>
          <w:rFonts w:ascii="Times New Roman" w:eastAsia="Times New Roman" w:hAnsi="Times New Roman" w:cs="Times New Roman"/>
          <w:noProof/>
          <w:color w:val="444444"/>
          <w:sz w:val="24"/>
          <w:szCs w:val="24"/>
          <w:lang w:eastAsia="x-none"/>
        </w:rPr>
        <w:t>’s declaration, the text of which is given below, must be made out in accordance with the footnotes. However, the footnotes do not have to be reproduced.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hAnsi="Times New Roman" w:cs="Times New Roman"/>
          <w:b/>
          <w:bCs/>
          <w:noProof/>
          <w:color w:val="444444"/>
          <w:sz w:val="24"/>
          <w:szCs w:val="24"/>
          <w:lang w:eastAsia="x-none"/>
        </w:rPr>
        <w:t>LONG-TERM SUPPLIER</w:t>
      </w:r>
      <w:r>
        <w:rPr>
          <w:rFonts w:ascii="Times New Roman" w:eastAsia="Times New Roman" w:hAnsi="Times New Roman" w:cs="Times New Roman"/>
          <w:b/>
          <w:bCs/>
          <w:noProof/>
          <w:color w:val="444444"/>
          <w:sz w:val="24"/>
          <w:szCs w:val="24"/>
          <w:lang w:eastAsia="x-none"/>
        </w:rPr>
        <w:t>’S DECLARATION</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b/>
          <w:bCs/>
          <w:noProof/>
          <w:color w:val="444444"/>
          <w:sz w:val="24"/>
          <w:szCs w:val="24"/>
          <w:lang w:eastAsia="x-none"/>
        </w:rPr>
      </w:pPr>
      <w:r>
        <w:rPr>
          <w:rFonts w:ascii="Times New Roman" w:eastAsia="Times New Roman" w:hAnsi="Times New Roman" w:cs="Times New Roman"/>
          <w:b/>
          <w:bCs/>
          <w:noProof/>
          <w:color w:val="444444"/>
          <w:sz w:val="24"/>
          <w:szCs w:val="24"/>
          <w:lang w:eastAsia="x-none"/>
        </w:rPr>
        <w:t>for goods which have undergone working or processing in an EFTA State or Tunisia without having obtained preferential originating status</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I, the undersigned, supplier of the goods covered by this document, which are regularly supplied to </w:t>
      </w:r>
      <w:r>
        <w:rPr>
          <w:rFonts w:ascii="Times New Roman" w:eastAsia="Times New Roman" w:hAnsi="Times New Roman" w:cs="Times New Roman"/>
          <w:noProof/>
          <w:color w:val="444444"/>
          <w:sz w:val="24"/>
          <w:szCs w:val="24"/>
          <w:lang w:eastAsia="x-none"/>
        </w:rPr>
        <w:t>…</w:t>
      </w:r>
      <w:hyperlink r:id="rId182" w:anchor="ntr1-L_2013054EN.01015701-E0001"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1</w:t>
        </w:r>
        <w:r>
          <w:rPr>
            <w:rFonts w:ascii="Times New Roman" w:hAnsi="Times New Roman" w:cs="Times New Roman"/>
            <w:noProof/>
            <w:color w:val="800080"/>
            <w:sz w:val="24"/>
            <w:szCs w:val="24"/>
            <w:lang w:eastAsia="x-none"/>
          </w:rPr>
          <w:t>)</w:t>
        </w:r>
      </w:hyperlink>
      <w:r>
        <w:rPr>
          <w:rFonts w:ascii="Times New Roman" w:hAnsi="Times New Roman" w:cs="Times New Roman"/>
          <w:noProof/>
          <w:color w:val="444444"/>
          <w:sz w:val="24"/>
          <w:szCs w:val="24"/>
          <w:lang w:eastAsia="x-none"/>
        </w:rPr>
        <w:t> declare that:</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85"/>
        <w:gridCol w:w="8725"/>
      </w:tblGrid>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1.</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following materials which do not originate in an EFTA State or Tunisia have been used in an EFTA State or Tunisia to produce these goods: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2065"/>
              <w:gridCol w:w="2157"/>
              <w:gridCol w:w="2183"/>
              <w:gridCol w:w="2199"/>
            </w:tblGrid>
            <w:tr w:rsidR="00D74962">
              <w:tc>
                <w:tcPr>
                  <w:tcW w:w="20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the goods supplied</w:t>
                  </w:r>
                  <w:hyperlink r:id="rId183" w:anchor="ntr2-L_2013054EN.01015701-E0002"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2</w:t>
                    </w:r>
                    <w:r>
                      <w:rPr>
                        <w:rFonts w:ascii="Times New Roman" w:hAnsi="Times New Roman" w:cs="Times New Roman"/>
                        <w:b/>
                        <w:bCs/>
                        <w:noProof/>
                        <w:color w:val="800080"/>
                        <w:lang w:eastAsia="x-none"/>
                      </w:rPr>
                      <w:t>)</w:t>
                    </w:r>
                  </w:hyperlink>
                </w:p>
              </w:tc>
              <w:tc>
                <w:tcPr>
                  <w:tcW w:w="215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non-originating materials used</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Heading of non-originating materials used</w:t>
                  </w:r>
                  <w:hyperlink r:id="rId184" w:anchor="ntr3-L_2013054EN.01015701-E0003"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3</w:t>
                    </w:r>
                    <w:r>
                      <w:rPr>
                        <w:rFonts w:ascii="Times New Roman" w:hAnsi="Times New Roman" w:cs="Times New Roman"/>
                        <w:b/>
                        <w:bCs/>
                        <w:noProof/>
                        <w:color w:val="800080"/>
                        <w:lang w:eastAsia="x-none"/>
                      </w:rPr>
                      <w:t>)</w:t>
                    </w:r>
                  </w:hyperlink>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Value of non-originating materials used</w:t>
                  </w:r>
                  <w:hyperlink r:id="rId185" w:anchor="ntr3-L_2013054EN.01015701-E0003"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3</w:t>
                    </w:r>
                    <w:r>
                      <w:rPr>
                        <w:rFonts w:ascii="Times New Roman" w:hAnsi="Times New Roman" w:cs="Times New Roman"/>
                        <w:b/>
                        <w:bCs/>
                        <w:noProof/>
                        <w:color w:val="800080"/>
                        <w:lang w:eastAsia="x-none"/>
                      </w:rPr>
                      <w:t>)</w:t>
                    </w:r>
                  </w:hyperlink>
                  <w:r>
                    <w:rPr>
                      <w:rFonts w:ascii="Times New Roman" w:hAnsi="Times New Roman" w:cs="Times New Roman"/>
                      <w:b/>
                      <w:bCs/>
                      <w:noProof/>
                      <w:lang w:eastAsia="x-none"/>
                    </w:rPr>
                    <w:t> </w:t>
                  </w:r>
                  <w:hyperlink r:id="rId186" w:anchor="ntr4-L_2013054EN.01015701-E0004"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4</w:t>
                    </w:r>
                    <w:r>
                      <w:rPr>
                        <w:rFonts w:ascii="Times New Roman" w:hAnsi="Times New Roman" w:cs="Times New Roman"/>
                        <w:b/>
                        <w:bCs/>
                        <w:noProof/>
                        <w:color w:val="800080"/>
                        <w:lang w:eastAsia="x-none"/>
                      </w:rPr>
                      <w:t>)</w:t>
                    </w:r>
                  </w:hyperlink>
                </w:p>
              </w:tc>
            </w:tr>
            <w:tr w:rsidR="00D74962">
              <w:tc>
                <w:tcPr>
                  <w:tcW w:w="20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5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20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5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20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57"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83"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6405" w:type="dxa"/>
                  <w:gridSpan w:val="3"/>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lang w:eastAsia="x-none"/>
                    </w:rPr>
                  </w:pPr>
                  <w:r>
                    <w:rPr>
                      <w:rFonts w:ascii="Times New Roman" w:hAnsi="Times New Roman" w:cs="Times New Roman"/>
                      <w:noProof/>
                      <w:lang w:eastAsia="x-none"/>
                    </w:rPr>
                    <w:t>Total</w:t>
                  </w:r>
                </w:p>
              </w:tc>
              <w:tc>
                <w:tcPr>
                  <w:tcW w:w="2199"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2.</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All the other materials used in an EFTA State or Tunisia to produce these goods originate in an EFTA State or Tunisia;</w:t>
            </w:r>
          </w:p>
        </w:tc>
      </w:tr>
      <w:tr w:rsidR="00D74962">
        <w:tc>
          <w:tcPr>
            <w:tcW w:w="28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3.</w:t>
            </w:r>
          </w:p>
        </w:tc>
        <w:tc>
          <w:tcPr>
            <w:tcW w:w="872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The following goods have undergone working or processing outside an EFTA State or Tunisia in accordance with Article 11 of Appendix I to the Regional Convention on pan-Euro-Mediterranean preferential rules of origin and have acquired the following total added value there:</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3088"/>
              <w:gridCol w:w="5516"/>
            </w:tblGrid>
            <w:tr w:rsidR="00D74962">
              <w:tc>
                <w:tcPr>
                  <w:tcW w:w="308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Description of the goods supplied</w:t>
                  </w:r>
                </w:p>
              </w:tc>
              <w:tc>
                <w:tcPr>
                  <w:tcW w:w="551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right="195"/>
                    <w:jc w:val="center"/>
                    <w:rPr>
                      <w:rFonts w:ascii="Times New Roman" w:hAnsi="Times New Roman" w:cs="Times New Roman"/>
                      <w:b/>
                      <w:bCs/>
                      <w:noProof/>
                      <w:lang w:eastAsia="x-none"/>
                    </w:rPr>
                  </w:pPr>
                  <w:r>
                    <w:rPr>
                      <w:rFonts w:ascii="Times New Roman" w:hAnsi="Times New Roman" w:cs="Times New Roman"/>
                      <w:b/>
                      <w:bCs/>
                      <w:noProof/>
                      <w:lang w:eastAsia="x-none"/>
                    </w:rPr>
                    <w:t>Total added value acquired outside an EFTA State or Tunisia</w:t>
                  </w:r>
                  <w:hyperlink r:id="rId187" w:anchor="ntr5-L_2013054EN.01015701-E0005" w:history="1">
                    <w:r>
                      <w:rPr>
                        <w:rFonts w:ascii="Times New Roman" w:hAnsi="Times New Roman" w:cs="Times New Roman"/>
                        <w:b/>
                        <w:bCs/>
                        <w:noProof/>
                        <w:color w:val="800080"/>
                        <w:lang w:eastAsia="x-none"/>
                      </w:rPr>
                      <w:t> (</w:t>
                    </w:r>
                    <w:r>
                      <w:rPr>
                        <w:rFonts w:ascii="Times New Roman" w:hAnsi="Times New Roman" w:cs="Times New Roman"/>
                        <w:b/>
                        <w:bCs/>
                        <w:noProof/>
                        <w:color w:val="800080"/>
                        <w:position w:val="3"/>
                        <w:sz w:val="15"/>
                        <w:szCs w:val="15"/>
                        <w:lang w:eastAsia="x-none"/>
                      </w:rPr>
                      <w:t>5</w:t>
                    </w:r>
                    <w:r>
                      <w:rPr>
                        <w:rFonts w:ascii="Times New Roman" w:hAnsi="Times New Roman" w:cs="Times New Roman"/>
                        <w:b/>
                        <w:bCs/>
                        <w:noProof/>
                        <w:color w:val="800080"/>
                        <w:lang w:eastAsia="x-none"/>
                      </w:rPr>
                      <w:t>)</w:t>
                    </w:r>
                  </w:hyperlink>
                </w:p>
              </w:tc>
            </w:tr>
            <w:tr w:rsidR="00D74962">
              <w:tc>
                <w:tcPr>
                  <w:tcW w:w="308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551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308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551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r w:rsidR="00D74962">
              <w:tc>
                <w:tcPr>
                  <w:tcW w:w="3088"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lastRenderedPageBreak/>
                    <w:t> </w:t>
                  </w:r>
                </w:p>
              </w:tc>
              <w:tc>
                <w:tcPr>
                  <w:tcW w:w="5516"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r>
          </w:tbl>
          <w:p w:rsidR="00D74962" w:rsidRDefault="00D74962">
            <w:pPr>
              <w:widowControl w:val="0"/>
              <w:spacing w:after="0" w:line="240" w:lineRule="auto"/>
              <w:rPr>
                <w:rFonts w:ascii="Times New Roman" w:hAnsi="Times New Roman" w:cs="Times New Roman"/>
                <w:noProof/>
                <w:sz w:val="24"/>
                <w:szCs w:val="24"/>
                <w:lang w:eastAsia="x-none"/>
              </w:rPr>
            </w:pPr>
          </w:p>
        </w:tc>
      </w:tr>
    </w:tbl>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lastRenderedPageBreak/>
        <w:t>This declaration is valid for all subsequent consignments of these goods dispatched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from </w:t>
      </w: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to …</w:t>
      </w:r>
      <w:hyperlink r:id="rId188" w:anchor="ntr6-L_2013054EN.01015701-E0006"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6</w:t>
        </w:r>
        <w:r>
          <w:rPr>
            <w:rFonts w:ascii="Times New Roman" w:hAnsi="Times New Roman" w:cs="Times New Roman"/>
            <w:noProof/>
            <w:color w:val="800080"/>
            <w:sz w:val="24"/>
            <w:szCs w:val="24"/>
            <w:lang w:eastAsia="x-none"/>
          </w:rPr>
          <w:t>)</w:t>
        </w:r>
      </w:hyperlink>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noProof/>
          <w:color w:val="444444"/>
          <w:sz w:val="24"/>
          <w:szCs w:val="24"/>
          <w:lang w:eastAsia="x-none"/>
        </w:rPr>
        <w:t xml:space="preserve">I undertake to inform </w:t>
      </w:r>
      <w:r>
        <w:rPr>
          <w:rFonts w:ascii="Times New Roman" w:eastAsia="Times New Roman" w:hAnsi="Times New Roman" w:cs="Times New Roman"/>
          <w:noProof/>
          <w:color w:val="444444"/>
          <w:sz w:val="24"/>
          <w:szCs w:val="24"/>
          <w:lang w:eastAsia="x-none"/>
        </w:rPr>
        <w:t>…</w:t>
      </w:r>
      <w:hyperlink r:id="rId189" w:anchor="ntr1-L_2013054EN.01015701-E0001" w:history="1">
        <w:r>
          <w:rPr>
            <w:rFonts w:ascii="Times New Roman" w:hAnsi="Times New Roman" w:cs="Times New Roman"/>
            <w:noProof/>
            <w:color w:val="800080"/>
            <w:sz w:val="24"/>
            <w:szCs w:val="24"/>
            <w:lang w:eastAsia="x-none"/>
          </w:rPr>
          <w:t> (</w:t>
        </w:r>
        <w:r>
          <w:rPr>
            <w:rFonts w:ascii="Times New Roman" w:hAnsi="Times New Roman" w:cs="Times New Roman"/>
            <w:noProof/>
            <w:color w:val="800080"/>
            <w:position w:val="4"/>
            <w:sz w:val="17"/>
            <w:szCs w:val="17"/>
            <w:lang w:eastAsia="x-none"/>
          </w:rPr>
          <w:t>1</w:t>
        </w:r>
        <w:r>
          <w:rPr>
            <w:rFonts w:ascii="Times New Roman" w:hAnsi="Times New Roman" w:cs="Times New Roman"/>
            <w:noProof/>
            <w:color w:val="800080"/>
            <w:sz w:val="24"/>
            <w:szCs w:val="24"/>
            <w:lang w:eastAsia="x-none"/>
          </w:rPr>
          <w:t>)</w:t>
        </w:r>
      </w:hyperlink>
      <w:r>
        <w:rPr>
          <w:rFonts w:ascii="Times New Roman" w:hAnsi="Times New Roman" w:cs="Times New Roman"/>
          <w:noProof/>
          <w:color w:val="444444"/>
          <w:sz w:val="24"/>
          <w:szCs w:val="24"/>
          <w:lang w:eastAsia="x-none"/>
        </w:rPr>
        <w:t> immediately if this declaration is no longer valid.</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r>
        <w:rPr>
          <w:rFonts w:ascii="Times New Roman" w:hAnsi="Times New Roman" w:cs="Times New Roman"/>
          <w:i/>
          <w:iCs/>
          <w:noProof/>
          <w:color w:val="444444"/>
          <w:sz w:val="24"/>
          <w:szCs w:val="24"/>
          <w:lang w:eastAsia="x-none"/>
        </w:rPr>
        <w:t>Place and date</w:t>
      </w:r>
      <w:r>
        <w:rPr>
          <w:rFonts w:ascii="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24"/>
          <w:szCs w:val="24"/>
          <w:lang w:eastAsia="x-none"/>
        </w:rPr>
      </w:pPr>
      <w:r>
        <w:rPr>
          <w:rFonts w:ascii="Times New Roman" w:eastAsia="Times New Roman" w:hAnsi="Times New Roman" w:cs="Times New Roman"/>
          <w:noProof/>
          <w:color w:val="444444"/>
          <w:sz w:val="24"/>
          <w:szCs w:val="24"/>
          <w:lang w:eastAsia="x-none"/>
        </w:rPr>
        <w:t>…</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24"/>
          <w:szCs w:val="24"/>
          <w:lang w:eastAsia="x-none"/>
        </w:rPr>
      </w:pPr>
      <w:r>
        <w:rPr>
          <w:rFonts w:ascii="Times New Roman" w:hAnsi="Times New Roman" w:cs="Times New Roman"/>
          <w:i/>
          <w:iCs/>
          <w:noProof/>
          <w:color w:val="444444"/>
          <w:sz w:val="24"/>
          <w:szCs w:val="24"/>
          <w:lang w:eastAsia="x-none"/>
        </w:rPr>
        <w:t>(Address and signature of the supplier; in addition the name of the person signing the declaration has to be indicated in clear script)</w:t>
      </w:r>
    </w:p>
    <w:p w:rsidR="00D74962" w:rsidRDefault="00D749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Times New Roman" w:hAnsi="Times New Roman" w:cs="Times New Roman"/>
          <w:noProof/>
          <w:color w:val="444444"/>
          <w:sz w:val="24"/>
          <w:szCs w:val="24"/>
          <w:lang w:eastAsia="x-none"/>
        </w:rPr>
      </w:pP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90" w:anchor="ntc1-L_2013054EN.01015701-E0001"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1</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Name and address of the customer</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91" w:anchor="ntc2-L_2013054EN.01015701-E0002"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2</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When the invoice, delivery note or other commercial document to which the declaration is annexed relates to different kinds of goods, or to goods which do not incorporate non-originating materials to the same extent, the supplier must clearly differentiate them.</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Example:</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The document relates to different models of electric motor of heading 8501 to be used in the manufacture of washing machines of heading 8450. The nature and value of the non-originating materials used in the manufacture of these motors differ from one model to another. The models must therefore be differentiated in the first column and the indications in the other columns must be provided separately for each of the models to make it possible for the manufacturer of washing machines to make a correct assessment of the originating status of his products depending on which model of electrical motor he uses.</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hyperlink r:id="rId192" w:anchor="ntc3-L_2013054EN.01015701-E0003"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3</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The indications requested in these columns should only be given if they are necessary.</w:t>
      </w:r>
    </w:p>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color w:val="444444"/>
          <w:sz w:val="19"/>
          <w:szCs w:val="19"/>
          <w:lang w:eastAsia="x-none"/>
        </w:rPr>
      </w:pPr>
      <w:r>
        <w:rPr>
          <w:rFonts w:ascii="Times New Roman" w:hAnsi="Times New Roman" w:cs="Times New Roman"/>
          <w:noProof/>
          <w:color w:val="444444"/>
          <w:sz w:val="19"/>
          <w:szCs w:val="19"/>
          <w:lang w:eastAsia="x-none"/>
        </w:rPr>
        <w:t>Examples:</w:t>
      </w:r>
    </w:p>
    <w:tbl>
      <w:tblPr>
        <w:tblW w:w="0" w:type="auto"/>
        <w:tblLayout w:type="fixed"/>
        <w:tblCellMar>
          <w:top w:w="30" w:type="dxa"/>
          <w:left w:w="75" w:type="dxa"/>
          <w:bottom w:w="30" w:type="dxa"/>
          <w:right w:w="30" w:type="dxa"/>
        </w:tblCellMar>
        <w:tblLook w:val="0000" w:firstRow="0" w:lastRow="0" w:firstColumn="0" w:lastColumn="0" w:noHBand="0" w:noVBand="0"/>
      </w:tblPr>
      <w:tblGrid>
        <w:gridCol w:w="165"/>
        <w:gridCol w:w="8845"/>
      </w:tblGrid>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88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19"/>
                <w:szCs w:val="19"/>
                <w:lang w:eastAsia="x-none"/>
              </w:rPr>
            </w:pPr>
            <w:r>
              <w:rPr>
                <w:rFonts w:ascii="Times New Roman" w:hAnsi="Times New Roman" w:cs="Times New Roman"/>
                <w:noProof/>
                <w:sz w:val="19"/>
                <w:szCs w:val="19"/>
                <w:lang w:eastAsia="x-none"/>
              </w:rPr>
              <w:t>The rule for garments of ex Chapter 62 says that non-originating yarn may be used. If a manufacturer of such garments in Tunisia uses fabric imported from an EFTA State which has been obtained there by weaving non-originating yarn, it is sufficient for the EFTA State supplier to describe in his declaration the non-originating material used as yarn, without it being necessary to indicate the heading and value of such yarn.</w:t>
            </w:r>
          </w:p>
        </w:tc>
      </w:tr>
      <w:tr w:rsidR="00D74962">
        <w:tc>
          <w:tcPr>
            <w:tcW w:w="16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hAnsi="Times New Roman" w:cs="Times New Roman"/>
                <w:noProof/>
                <w:sz w:val="24"/>
                <w:szCs w:val="24"/>
                <w:lang w:eastAsia="x-none"/>
              </w:rPr>
            </w:pPr>
            <w:r>
              <w:rPr>
                <w:rFonts w:ascii="Times New Roman" w:hAnsi="Times New Roman" w:cs="Times New Roman"/>
                <w:noProof/>
                <w:sz w:val="24"/>
                <w:szCs w:val="24"/>
                <w:lang w:eastAsia="x-none"/>
              </w:rPr>
              <w:t> </w:t>
            </w:r>
          </w:p>
        </w:tc>
        <w:tc>
          <w:tcPr>
            <w:tcW w:w="8845" w:type="dxa"/>
            <w:tcBorders>
              <w:top w:val="single" w:sz="6" w:space="0" w:color="auto"/>
              <w:left w:val="single" w:sz="6" w:space="0" w:color="auto"/>
              <w:bottom w:val="single" w:sz="6" w:space="0" w:color="auto"/>
              <w:right w:val="single" w:sz="6" w:space="0" w:color="auto"/>
            </w:tcBorders>
          </w:tcPr>
          <w:p w:rsidR="00D74962" w:rsidRDefault="00935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sz w:val="19"/>
                <w:szCs w:val="19"/>
                <w:lang w:eastAsia="x-none"/>
              </w:rPr>
            </w:pPr>
            <w:r>
              <w:rPr>
                <w:rFonts w:ascii="Times New Roman" w:hAnsi="Times New Roman" w:cs="Times New Roman"/>
                <w:noProof/>
                <w:sz w:val="19"/>
                <w:szCs w:val="19"/>
                <w:lang w:eastAsia="x-none"/>
              </w:rPr>
              <w:t xml:space="preserve">A producer of iron of heading 7217 who has produced it from non-originating iron bars should indicate in the second column </w:t>
            </w:r>
            <w:r>
              <w:rPr>
                <w:rFonts w:ascii="Times New Roman" w:eastAsia="Times New Roman" w:hAnsi="Times New Roman" w:cs="Times New Roman"/>
                <w:noProof/>
                <w:sz w:val="19"/>
                <w:szCs w:val="19"/>
                <w:lang w:eastAsia="x-none"/>
              </w:rPr>
              <w:t>‘bars of iron’. Where this wire is to be used in the production of a machine, for which the rule contains a limitation for all non-originating materials used to a certain percentage value, it is necessary to indicate in the third column the value of non-originating bars.</w:t>
            </w:r>
          </w:p>
        </w:tc>
      </w:tr>
    </w:tbl>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93" w:anchor="ntc4-L_2013054EN.01015701-E0004"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4</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t>
      </w:r>
      <w:r w:rsidR="00935DDF">
        <w:rPr>
          <w:rFonts w:ascii="Times New Roman" w:eastAsia="Times New Roman" w:hAnsi="Times New Roman" w:cs="Times New Roman"/>
          <w:noProof/>
          <w:color w:val="444444"/>
          <w:sz w:val="19"/>
          <w:szCs w:val="19"/>
          <w:lang w:eastAsia="x-none"/>
        </w:rPr>
        <w:t>‘Value of materials’ means the customs value at the time of importation of the non-originating materials used, or, if this is not known and cannot be ascertained, the first ascertainable price paid for the materials in an EFTA State or Tunisia. The exact value for each non-originating material used be given per unit of the goods specified in the first column.</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94" w:anchor="ntc5-L_2013054EN.01015701-E0005"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5</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w:t>
      </w:r>
      <w:r w:rsidR="00935DDF">
        <w:rPr>
          <w:rFonts w:ascii="Times New Roman" w:eastAsia="Times New Roman" w:hAnsi="Times New Roman" w:cs="Times New Roman"/>
          <w:noProof/>
          <w:color w:val="444444"/>
          <w:sz w:val="19"/>
          <w:szCs w:val="19"/>
          <w:lang w:eastAsia="x-none"/>
        </w:rPr>
        <w:t>‘Total added value’ means all costs accumulated outside an EFTA State or Tunisia, including the value of all materials added there. The exact total added value acquired outside an EFTA State or Tunisia must be given per unit of the goods specified in the first column.</w:t>
      </w:r>
    </w:p>
    <w:p w:rsidR="00D74962" w:rsidRDefault="00CA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Times New Roman" w:eastAsia="Times New Roman" w:hAnsi="Times New Roman" w:cs="Times New Roman"/>
          <w:noProof/>
          <w:color w:val="444444"/>
          <w:sz w:val="19"/>
          <w:szCs w:val="19"/>
          <w:lang w:eastAsia="x-none"/>
        </w:rPr>
      </w:pPr>
      <w:hyperlink r:id="rId195" w:anchor="ntc6-L_2013054EN.01015701-E0006" w:history="1">
        <w:r w:rsidR="00935DDF">
          <w:rPr>
            <w:rFonts w:ascii="Times New Roman" w:hAnsi="Times New Roman" w:cs="Times New Roman"/>
            <w:noProof/>
            <w:color w:val="800080"/>
            <w:sz w:val="19"/>
            <w:szCs w:val="19"/>
            <w:lang w:eastAsia="x-none"/>
          </w:rPr>
          <w:t>(</w:t>
        </w:r>
        <w:r w:rsidR="00935DDF">
          <w:rPr>
            <w:rFonts w:ascii="Times New Roman" w:hAnsi="Times New Roman" w:cs="Times New Roman"/>
            <w:noProof/>
            <w:color w:val="800080"/>
            <w:position w:val="3"/>
            <w:sz w:val="13"/>
            <w:szCs w:val="13"/>
            <w:lang w:eastAsia="x-none"/>
          </w:rPr>
          <w:t>6</w:t>
        </w:r>
        <w:r w:rsidR="00935DDF">
          <w:rPr>
            <w:rFonts w:ascii="Times New Roman" w:hAnsi="Times New Roman" w:cs="Times New Roman"/>
            <w:noProof/>
            <w:color w:val="800080"/>
            <w:sz w:val="19"/>
            <w:szCs w:val="19"/>
            <w:lang w:eastAsia="x-none"/>
          </w:rPr>
          <w:t>)</w:t>
        </w:r>
      </w:hyperlink>
      <w:r w:rsidR="00935DDF">
        <w:rPr>
          <w:rFonts w:ascii="Times New Roman" w:hAnsi="Times New Roman" w:cs="Times New Roman"/>
          <w:noProof/>
          <w:color w:val="444444"/>
          <w:sz w:val="19"/>
          <w:szCs w:val="19"/>
          <w:lang w:eastAsia="x-none"/>
        </w:rPr>
        <w:t>  Insert dates. The period of validity of the long-term supplier</w:t>
      </w:r>
      <w:r w:rsidR="00935DDF">
        <w:rPr>
          <w:rFonts w:ascii="Times New Roman" w:eastAsia="Times New Roman" w:hAnsi="Times New Roman" w:cs="Times New Roman"/>
          <w:noProof/>
          <w:color w:val="444444"/>
          <w:sz w:val="19"/>
          <w:szCs w:val="19"/>
          <w:lang w:eastAsia="x-none"/>
        </w:rPr>
        <w:t>’s declaration should not normally exceed 12 months, subject to the conditions laid down by the customs authorities of the country where the long-term supplier’s declaration is made out.</w:t>
      </w:r>
    </w:p>
    <w:p w:rsidR="00D74962" w:rsidRDefault="00D74962">
      <w:pPr>
        <w:pStyle w:val="Normal0"/>
        <w:jc w:val="center"/>
        <w:rPr>
          <w:rFonts w:ascii="Times New Roman" w:eastAsia="Times New Roman" w:hAnsi="Times New Roman" w:cs="Times New Roman"/>
          <w:noProof/>
          <w:color w:val="444444"/>
          <w:sz w:val="19"/>
          <w:szCs w:val="19"/>
          <w:lang w:eastAsia="x-none"/>
        </w:rPr>
      </w:pPr>
    </w:p>
    <w:sectPr w:rsidR="00D74962">
      <w:headerReference w:type="even" r:id="rId196"/>
      <w:headerReference w:type="default" r:id="rId197"/>
      <w:footerReference w:type="even" r:id="rId198"/>
      <w:footerReference w:type="default" r:id="rId199"/>
      <w:headerReference w:type="first" r:id="rId200"/>
      <w:footerReference w:type="first" r:id="rId20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388" w:rsidRDefault="007A3388" w:rsidP="00935DDF">
      <w:pPr>
        <w:spacing w:after="0" w:line="240" w:lineRule="auto"/>
      </w:pPr>
      <w:r>
        <w:separator/>
      </w:r>
    </w:p>
  </w:endnote>
  <w:endnote w:type="continuationSeparator" w:id="0">
    <w:p w:rsidR="007A3388" w:rsidRDefault="007A3388" w:rsidP="00935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433" w:rsidRDefault="00CA44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2" w:space="0" w:color="auto"/>
      </w:tblBorders>
      <w:tblLayout w:type="fixed"/>
      <w:tblLook w:val="0000" w:firstRow="0" w:lastRow="0" w:firstColumn="0" w:lastColumn="0" w:noHBand="0" w:noVBand="0"/>
    </w:tblPr>
    <w:tblGrid>
      <w:gridCol w:w="4788"/>
      <w:gridCol w:w="4788"/>
    </w:tblGrid>
    <w:tr w:rsidR="00CA4433" w:rsidTr="00935DDF">
      <w:tc>
        <w:tcPr>
          <w:tcW w:w="4788" w:type="dxa"/>
          <w:shd w:val="clear" w:color="auto" w:fill="auto"/>
        </w:tcPr>
        <w:p w:rsidR="00CA4433" w:rsidRPr="00935DDF" w:rsidRDefault="00CA4433" w:rsidP="00935DDF">
          <w:pPr>
            <w:pStyle w:val="Footer"/>
            <w:spacing w:after="0" w:line="240" w:lineRule="auto"/>
            <w:rPr>
              <w:rFonts w:ascii="Sylfaen" w:hAnsi="Sylfaen"/>
              <w:noProof/>
              <w:sz w:val="16"/>
            </w:rPr>
          </w:pPr>
          <w:r w:rsidRPr="00935DDF">
            <w:rPr>
              <w:rFonts w:ascii="Sylfaen" w:hAnsi="Sylfaen"/>
              <w:noProof/>
              <w:sz w:val="16"/>
            </w:rPr>
            <w:t xml:space="preserve">26 მარტი 2012  მრავალმხრივი საერთაშორისო ხელშეკრულებები  კონვენცია </w:t>
          </w:r>
        </w:p>
      </w:tc>
      <w:tc>
        <w:tcPr>
          <w:tcW w:w="4788" w:type="dxa"/>
          <w:shd w:val="clear" w:color="auto" w:fill="auto"/>
        </w:tcPr>
        <w:p w:rsidR="00CA4433" w:rsidRPr="00935DDF" w:rsidRDefault="00CA4433" w:rsidP="00935DDF">
          <w:pPr>
            <w:pStyle w:val="Footer"/>
            <w:spacing w:after="0" w:line="240" w:lineRule="auto"/>
            <w:jc w:val="right"/>
            <w:rPr>
              <w:rFonts w:ascii="Sylfaen" w:hAnsi="Sylfaen"/>
              <w:noProof/>
              <w:sz w:val="16"/>
            </w:rPr>
          </w:pPr>
          <w:r w:rsidRPr="00935DDF">
            <w:rPr>
              <w:rFonts w:ascii="Sylfaen" w:hAnsi="Sylfaen"/>
              <w:noProof/>
              <w:sz w:val="16"/>
            </w:rPr>
            <w:t xml:space="preserve"> [ ამოღებულია ბაზიდან  : 2 მაისი 2018 ]</w:t>
          </w:r>
        </w:p>
      </w:tc>
    </w:tr>
    <w:tr w:rsidR="00CA4433" w:rsidTr="00935DDF">
      <w:tc>
        <w:tcPr>
          <w:tcW w:w="4788" w:type="dxa"/>
          <w:shd w:val="clear" w:color="auto" w:fill="auto"/>
        </w:tcPr>
        <w:p w:rsidR="00CA4433" w:rsidRDefault="00CA4433" w:rsidP="00935DDF">
          <w:pPr>
            <w:pStyle w:val="Footer"/>
            <w:spacing w:after="0" w:line="240" w:lineRule="auto"/>
          </w:pPr>
        </w:p>
      </w:tc>
      <w:tc>
        <w:tcPr>
          <w:tcW w:w="4788" w:type="dxa"/>
          <w:shd w:val="clear" w:color="auto" w:fill="auto"/>
        </w:tcPr>
        <w:p w:rsidR="00CA4433" w:rsidRPr="00935DDF" w:rsidRDefault="00CA4433" w:rsidP="00935DDF">
          <w:pPr>
            <w:pStyle w:val="Footer"/>
            <w:spacing w:after="0" w:line="240" w:lineRule="auto"/>
            <w:jc w:val="right"/>
            <w:rPr>
              <w:rFonts w:ascii="Sylfaen" w:hAnsi="Sylfaen"/>
              <w:noProof/>
              <w:sz w:val="16"/>
            </w:rPr>
          </w:pPr>
        </w:p>
      </w:tc>
    </w:tr>
  </w:tbl>
  <w:p w:rsidR="00CA4433" w:rsidRPr="00935DDF" w:rsidRDefault="00CA4433" w:rsidP="00935D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433" w:rsidRDefault="00CA4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388" w:rsidRDefault="007A3388" w:rsidP="00935DDF">
      <w:pPr>
        <w:spacing w:after="0" w:line="240" w:lineRule="auto"/>
      </w:pPr>
      <w:r>
        <w:separator/>
      </w:r>
    </w:p>
  </w:footnote>
  <w:footnote w:type="continuationSeparator" w:id="0">
    <w:p w:rsidR="007A3388" w:rsidRDefault="007A3388" w:rsidP="00935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433" w:rsidRDefault="00CA4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2" w:space="0" w:color="auto"/>
      </w:tblBorders>
      <w:tblLayout w:type="fixed"/>
      <w:tblLook w:val="0000" w:firstRow="0" w:lastRow="0" w:firstColumn="0" w:lastColumn="0" w:noHBand="0" w:noVBand="0"/>
    </w:tblPr>
    <w:tblGrid>
      <w:gridCol w:w="4788"/>
      <w:gridCol w:w="4788"/>
    </w:tblGrid>
    <w:tr w:rsidR="00CA4433" w:rsidTr="00935DDF">
      <w:tc>
        <w:tcPr>
          <w:tcW w:w="4788" w:type="dxa"/>
          <w:shd w:val="clear" w:color="auto" w:fill="auto"/>
        </w:tcPr>
        <w:p w:rsidR="00CA4433" w:rsidRDefault="00CA4433" w:rsidP="00935DDF">
          <w:pPr>
            <w:pStyle w:val="Header"/>
            <w:spacing w:after="0" w:line="240" w:lineRule="auto"/>
          </w:pPr>
          <w:r>
            <w:t>Codex R4</w:t>
          </w:r>
        </w:p>
      </w:tc>
      <w:tc>
        <w:tcPr>
          <w:tcW w:w="4788" w:type="dxa"/>
          <w:shd w:val="clear" w:color="auto" w:fill="auto"/>
        </w:tcPr>
        <w:p w:rsidR="00CA4433" w:rsidRDefault="00CA4433" w:rsidP="00935DDF">
          <w:pPr>
            <w:pStyle w:val="Header"/>
            <w:spacing w:after="0" w:line="240" w:lineRule="auto"/>
            <w:jc w:val="right"/>
          </w:pPr>
          <w:r>
            <w:fldChar w:fldCharType="begin"/>
          </w:r>
          <w:r>
            <w:instrText xml:space="preserve"> PAGE  \* MERGEFORMAT </w:instrText>
          </w:r>
          <w:r>
            <w:fldChar w:fldCharType="separate"/>
          </w:r>
          <w:r w:rsidR="00C27941">
            <w:rPr>
              <w:noProof/>
            </w:rPr>
            <w:t>1</w:t>
          </w:r>
          <w:r>
            <w:fldChar w:fldCharType="end"/>
          </w:r>
          <w:r>
            <w:t xml:space="preserve"> of </w:t>
          </w:r>
          <w:fldSimple w:instr=" NUMPAGES  \* MERGEFORMAT ">
            <w:r w:rsidR="00C27941">
              <w:rPr>
                <w:noProof/>
              </w:rPr>
              <w:t>234</w:t>
            </w:r>
          </w:fldSimple>
        </w:p>
      </w:tc>
    </w:tr>
  </w:tbl>
  <w:p w:rsidR="00CA4433" w:rsidRPr="00935DDF" w:rsidRDefault="00CA4433" w:rsidP="00935D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433" w:rsidRDefault="00CA44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ind w:left="720" w:hanging="720"/>
      </w:pPr>
      <w:rPr>
        <w:rFonts w:ascii="Times" w:hAnsi="Times" w:cs="Times"/>
        <w:b w:val="0"/>
        <w:bCs w:val="0"/>
        <w:i w:val="0"/>
        <w:iCs w:val="0"/>
        <w:strike w:val="0"/>
        <w:color w:val="000000"/>
        <w:sz w:val="21"/>
        <w:szCs w:val="21"/>
        <w:u w:val="none"/>
      </w:rPr>
    </w:lvl>
    <w:lvl w:ilvl="1">
      <w:start w:val="1"/>
      <w:numFmt w:val="decimal"/>
      <w:lvlText w:val="%2."/>
      <w:lvlJc w:val="left"/>
      <w:pPr>
        <w:ind w:left="1080" w:hanging="720"/>
      </w:pPr>
      <w:rPr>
        <w:rFonts w:ascii="Times" w:hAnsi="Times" w:cs="Times"/>
        <w:b w:val="0"/>
        <w:bCs w:val="0"/>
        <w:i w:val="0"/>
        <w:iCs w:val="0"/>
        <w:strike w:val="0"/>
        <w:color w:val="000000"/>
        <w:sz w:val="21"/>
        <w:szCs w:val="21"/>
        <w:u w:val="none"/>
      </w:rPr>
    </w:lvl>
    <w:lvl w:ilvl="2">
      <w:start w:val="1"/>
      <w:numFmt w:val="decimal"/>
      <w:lvlText w:val="%3."/>
      <w:lvlJc w:val="left"/>
      <w:pPr>
        <w:ind w:left="1440" w:hanging="720"/>
      </w:pPr>
      <w:rPr>
        <w:rFonts w:ascii="Times" w:hAnsi="Times" w:cs="Times"/>
        <w:b w:val="0"/>
        <w:bCs w:val="0"/>
        <w:i w:val="0"/>
        <w:iCs w:val="0"/>
        <w:strike w:val="0"/>
        <w:color w:val="000000"/>
        <w:sz w:val="21"/>
        <w:szCs w:val="21"/>
        <w:u w:val="none"/>
      </w:rPr>
    </w:lvl>
    <w:lvl w:ilvl="3">
      <w:start w:val="1"/>
      <w:numFmt w:val="decimal"/>
      <w:lvlText w:val="%4."/>
      <w:lvlJc w:val="left"/>
      <w:pPr>
        <w:ind w:left="1800" w:hanging="720"/>
      </w:pPr>
      <w:rPr>
        <w:rFonts w:ascii="Times" w:hAnsi="Times" w:cs="Times"/>
        <w:b w:val="0"/>
        <w:bCs w:val="0"/>
        <w:i w:val="0"/>
        <w:iCs w:val="0"/>
        <w:strike w:val="0"/>
        <w:color w:val="000000"/>
        <w:sz w:val="21"/>
        <w:szCs w:val="21"/>
        <w:u w:val="none"/>
      </w:rPr>
    </w:lvl>
    <w:lvl w:ilvl="4">
      <w:start w:val="1"/>
      <w:numFmt w:val="decimal"/>
      <w:lvlText w:val="%5."/>
      <w:lvlJc w:val="left"/>
      <w:pPr>
        <w:ind w:left="2160" w:hanging="720"/>
      </w:pPr>
      <w:rPr>
        <w:rFonts w:ascii="Times" w:hAnsi="Times" w:cs="Times"/>
        <w:b w:val="0"/>
        <w:bCs w:val="0"/>
        <w:i w:val="0"/>
        <w:iCs w:val="0"/>
        <w:strike w:val="0"/>
        <w:color w:val="000000"/>
        <w:sz w:val="21"/>
        <w:szCs w:val="21"/>
        <w:u w:val="none"/>
      </w:rPr>
    </w:lvl>
    <w:lvl w:ilvl="5">
      <w:start w:val="1"/>
      <w:numFmt w:val="decimal"/>
      <w:lvlText w:val="%6."/>
      <w:lvlJc w:val="left"/>
      <w:pPr>
        <w:ind w:left="2520" w:hanging="720"/>
      </w:pPr>
      <w:rPr>
        <w:rFonts w:ascii="Times" w:hAnsi="Times" w:cs="Times"/>
        <w:b w:val="0"/>
        <w:bCs w:val="0"/>
        <w:i w:val="0"/>
        <w:iCs w:val="0"/>
        <w:strike w:val="0"/>
        <w:color w:val="000000"/>
        <w:sz w:val="21"/>
        <w:szCs w:val="21"/>
        <w:u w:val="none"/>
      </w:rPr>
    </w:lvl>
    <w:lvl w:ilvl="6">
      <w:start w:val="1"/>
      <w:numFmt w:val="decimal"/>
      <w:lvlText w:val="%7."/>
      <w:lvlJc w:val="left"/>
      <w:pPr>
        <w:ind w:left="2880" w:hanging="720"/>
      </w:pPr>
      <w:rPr>
        <w:rFonts w:ascii="Times" w:hAnsi="Times" w:cs="Times"/>
        <w:b w:val="0"/>
        <w:bCs w:val="0"/>
        <w:i w:val="0"/>
        <w:iCs w:val="0"/>
        <w:strike w:val="0"/>
        <w:color w:val="000000"/>
        <w:sz w:val="21"/>
        <w:szCs w:val="21"/>
        <w:u w:val="none"/>
      </w:rPr>
    </w:lvl>
    <w:lvl w:ilvl="7">
      <w:start w:val="1"/>
      <w:numFmt w:val="decimal"/>
      <w:lvlText w:val="%8."/>
      <w:lvlJc w:val="left"/>
      <w:pPr>
        <w:ind w:left="3240" w:hanging="720"/>
      </w:pPr>
      <w:rPr>
        <w:rFonts w:ascii="Times" w:hAnsi="Times" w:cs="Times"/>
        <w:b w:val="0"/>
        <w:bCs w:val="0"/>
        <w:i w:val="0"/>
        <w:iCs w:val="0"/>
        <w:strike w:val="0"/>
        <w:color w:val="000000"/>
        <w:sz w:val="21"/>
        <w:szCs w:val="21"/>
        <w:u w:val="none"/>
      </w:rPr>
    </w:lvl>
    <w:lvl w:ilvl="8">
      <w:start w:val="1"/>
      <w:numFmt w:val="decimal"/>
      <w:lvlText w:val="%9."/>
      <w:lvlJc w:val="left"/>
      <w:pPr>
        <w:ind w:left="3600" w:hanging="720"/>
      </w:pPr>
      <w:rPr>
        <w:rFonts w:ascii="Times" w:hAnsi="Times" w:cs="Times"/>
        <w:b w:val="0"/>
        <w:bCs w:val="0"/>
        <w:i w:val="0"/>
        <w:iCs w:val="0"/>
        <w:strike w:val="0"/>
        <w:color w:val="000000"/>
        <w:sz w:val="21"/>
        <w:szCs w:val="21"/>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proofState w:spelling="clean"/>
  <w:defaultTabStop w:val="1134"/>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DDF"/>
    <w:rsid w:val="00527A25"/>
    <w:rsid w:val="006B2701"/>
    <w:rsid w:val="007308B8"/>
    <w:rsid w:val="007A3388"/>
    <w:rsid w:val="00935DDF"/>
    <w:rsid w:val="00C27941"/>
    <w:rsid w:val="00CA4433"/>
    <w:rsid w:val="00CC3CAB"/>
    <w:rsid w:val="00D74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94F452"/>
  <w14:defaultImageDpi w14:val="0"/>
  <w15:docId w15:val="{9E51FD51-2C34-4810-B8F1-61403066A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pacing w:after="200" w:line="276" w:lineRule="auto"/>
    </w:pPr>
    <w:rPr>
      <w:rFonts w:ascii="Calibri" w:hAnsi="Calibri" w:cs="Calibri"/>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uiPriority w:val="99"/>
    <w:pPr>
      <w:widowControl w:val="0"/>
      <w:autoSpaceDE w:val="0"/>
      <w:autoSpaceDN w:val="0"/>
      <w:adjustRightInd w:val="0"/>
      <w:spacing w:after="0" w:line="240" w:lineRule="auto"/>
    </w:pPr>
    <w:rPr>
      <w:rFonts w:ascii="Arial" w:hAnsi="Arial" w:cs="Arial"/>
      <w:sz w:val="24"/>
      <w:szCs w:val="24"/>
      <w:lang w:val="x-none"/>
    </w:rPr>
  </w:style>
  <w:style w:type="paragraph" w:customStyle="1" w:styleId="note">
    <w:name w:val="note"/>
    <w:basedOn w:val="Normal"/>
    <w:uiPriority w:val="99"/>
    <w:pPr>
      <w:spacing w:before="100" w:after="100" w:line="240" w:lineRule="auto"/>
    </w:pPr>
    <w:rPr>
      <w:rFonts w:ascii="Times New Roman" w:hAnsi="Times New Roman" w:cs="Times New Roman"/>
      <w:sz w:val="24"/>
      <w:szCs w:val="24"/>
    </w:rPr>
  </w:style>
  <w:style w:type="paragraph" w:customStyle="1" w:styleId="doc-ti">
    <w:name w:val="doc-ti"/>
    <w:basedOn w:val="Normal"/>
    <w:uiPriority w:val="99"/>
    <w:pPr>
      <w:spacing w:before="100" w:after="100" w:line="240" w:lineRule="auto"/>
    </w:pPr>
    <w:rPr>
      <w:rFonts w:ascii="Times New Roman" w:hAnsi="Times New Roman" w:cs="Times New Roman"/>
      <w:sz w:val="24"/>
      <w:szCs w:val="24"/>
    </w:rPr>
  </w:style>
  <w:style w:type="paragraph" w:customStyle="1" w:styleId="ti-grseq-1">
    <w:name w:val="ti-grseq-1"/>
    <w:basedOn w:val="Normal"/>
    <w:uiPriority w:val="99"/>
    <w:pPr>
      <w:spacing w:before="100" w:after="100" w:line="240" w:lineRule="auto"/>
    </w:pPr>
    <w:rPr>
      <w:rFonts w:ascii="Times New Roman" w:hAnsi="Times New Roman" w:cs="Times New Roman"/>
      <w:sz w:val="24"/>
      <w:szCs w:val="24"/>
    </w:rPr>
  </w:style>
  <w:style w:type="paragraph" w:customStyle="1" w:styleId="ti-tbl">
    <w:name w:val="ti-tbl"/>
    <w:basedOn w:val="Normal"/>
    <w:uiPriority w:val="99"/>
    <w:pPr>
      <w:spacing w:before="100" w:after="100" w:line="240" w:lineRule="auto"/>
    </w:pPr>
    <w:rPr>
      <w:rFonts w:ascii="Times New Roman" w:hAnsi="Times New Roman" w:cs="Times New Roman"/>
      <w:sz w:val="24"/>
      <w:szCs w:val="24"/>
    </w:rPr>
  </w:style>
  <w:style w:type="character" w:styleId="Hyperlink">
    <w:name w:val="Hyperlink"/>
    <w:basedOn w:val="DefaultParagraphFont"/>
    <w:uiPriority w:val="99"/>
    <w:rPr>
      <w:rFonts w:ascii="Times New Roman" w:hAnsi="Times New Roman" w:cs="Times New Roman"/>
      <w:color w:val="0000FF"/>
      <w:u w:val="single"/>
    </w:rPr>
  </w:style>
  <w:style w:type="character" w:customStyle="1" w:styleId="super">
    <w:name w:val="super"/>
    <w:basedOn w:val="DefaultParagraphFont"/>
    <w:uiPriority w:val="99"/>
    <w:rPr>
      <w:rFonts w:ascii="Times New Roman" w:hAnsi="Times New Roman" w:cs="Times New Roman"/>
    </w:rPr>
  </w:style>
  <w:style w:type="character" w:customStyle="1" w:styleId="bold">
    <w:name w:val="bold"/>
    <w:basedOn w:val="DefaultParagraphFont"/>
    <w:uiPriority w:val="99"/>
    <w:rPr>
      <w:rFonts w:ascii="Times New Roman" w:hAnsi="Times New Roman" w:cs="Times New Roman"/>
    </w:rPr>
  </w:style>
  <w:style w:type="paragraph" w:styleId="Header">
    <w:name w:val="header"/>
    <w:basedOn w:val="Normal"/>
    <w:link w:val="HeaderChar"/>
    <w:uiPriority w:val="99"/>
    <w:unhideWhenUsed/>
    <w:rsid w:val="00935DDF"/>
    <w:pPr>
      <w:tabs>
        <w:tab w:val="center" w:pos="4680"/>
        <w:tab w:val="right" w:pos="9360"/>
      </w:tabs>
    </w:pPr>
  </w:style>
  <w:style w:type="character" w:customStyle="1" w:styleId="HeaderChar">
    <w:name w:val="Header Char"/>
    <w:basedOn w:val="DefaultParagraphFont"/>
    <w:link w:val="Header"/>
    <w:uiPriority w:val="99"/>
    <w:rsid w:val="00935DDF"/>
    <w:rPr>
      <w:rFonts w:ascii="Calibri" w:hAnsi="Calibri" w:cs="Calibri"/>
      <w:lang w:val="x-none"/>
    </w:rPr>
  </w:style>
  <w:style w:type="paragraph" w:styleId="Footer">
    <w:name w:val="footer"/>
    <w:basedOn w:val="Normal"/>
    <w:link w:val="FooterChar"/>
    <w:uiPriority w:val="99"/>
    <w:unhideWhenUsed/>
    <w:rsid w:val="00935DDF"/>
    <w:pPr>
      <w:tabs>
        <w:tab w:val="center" w:pos="4680"/>
        <w:tab w:val="right" w:pos="9360"/>
      </w:tabs>
    </w:pPr>
  </w:style>
  <w:style w:type="character" w:customStyle="1" w:styleId="FooterChar">
    <w:name w:val="Footer Char"/>
    <w:basedOn w:val="DefaultParagraphFont"/>
    <w:link w:val="Footer"/>
    <w:uiPriority w:val="99"/>
    <w:rsid w:val="00935DDF"/>
    <w:rPr>
      <w:rFonts w:ascii="Calibri" w:hAnsi="Calibri" w:cs="Calibri"/>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ur-lex.europa.eu/legal-content/EN/TXT/?uri=celex:32013D0094" TargetMode="External"/><Relationship Id="rId21" Type="http://schemas.openxmlformats.org/officeDocument/2006/relationships/hyperlink" Target="http://eur-lex.europa.eu/legal-content/EN/TXT/?uri=celex:32013D0094" TargetMode="External"/><Relationship Id="rId42" Type="http://schemas.openxmlformats.org/officeDocument/2006/relationships/hyperlink" Target="http://eur-lex.europa.eu/legal-content/EN/TXT/?uri=celex:32013D0094" TargetMode="External"/><Relationship Id="rId63" Type="http://schemas.openxmlformats.org/officeDocument/2006/relationships/hyperlink" Target="http://eur-lex.europa.eu/legal-content/EN/TXT/?uri=celex:32013D0094" TargetMode="External"/><Relationship Id="rId84" Type="http://schemas.openxmlformats.org/officeDocument/2006/relationships/hyperlink" Target="http://eur-lex.europa.eu/legal-content/EN/TXT/?uri=celex:32013D0094" TargetMode="External"/><Relationship Id="rId138" Type="http://schemas.openxmlformats.org/officeDocument/2006/relationships/hyperlink" Target="http://eur-lex.europa.eu/legal-content/EN/TXT/?uri=celex:32013D0094" TargetMode="External"/><Relationship Id="rId159" Type="http://schemas.openxmlformats.org/officeDocument/2006/relationships/hyperlink" Target="http://eur-lex.europa.eu/legal-content/EN/TXT/?uri=celex:32013D0094" TargetMode="External"/><Relationship Id="rId170" Type="http://schemas.openxmlformats.org/officeDocument/2006/relationships/hyperlink" Target="http://eur-lex.europa.eu/legal-content/EN/TXT/?uri=celex:32013D0094" TargetMode="External"/><Relationship Id="rId191" Type="http://schemas.openxmlformats.org/officeDocument/2006/relationships/hyperlink" Target="http://eur-lex.europa.eu/legal-content/EN/TXT/?uri=celex:32013D0094" TargetMode="External"/><Relationship Id="rId107" Type="http://schemas.openxmlformats.org/officeDocument/2006/relationships/hyperlink" Target="http://eur-lex.europa.eu/legal-content/EN/TXT/?uri=celex:32013D0094" TargetMode="External"/><Relationship Id="rId11" Type="http://schemas.openxmlformats.org/officeDocument/2006/relationships/hyperlink" Target="http://eur-lex.europa.eu/legal-content/EN/TXT/?uri=celex:32013D0094" TargetMode="External"/><Relationship Id="rId32" Type="http://schemas.openxmlformats.org/officeDocument/2006/relationships/hyperlink" Target="http://eur-lex.europa.eu/legal-content/EN/TXT/?uri=celex:32013D0094" TargetMode="External"/><Relationship Id="rId53" Type="http://schemas.openxmlformats.org/officeDocument/2006/relationships/hyperlink" Target="http://eur-lex.europa.eu/legal-content/EN/TXT/?uri=celex:32013D0094" TargetMode="External"/><Relationship Id="rId74" Type="http://schemas.openxmlformats.org/officeDocument/2006/relationships/hyperlink" Target="http://eur-lex.europa.eu/legal-content/EN/TXT/?uri=celex:32013D0094" TargetMode="External"/><Relationship Id="rId128" Type="http://schemas.openxmlformats.org/officeDocument/2006/relationships/hyperlink" Target="http://eur-lex.europa.eu/legal-content/EN/TXT/?uri=celex:32013D0094" TargetMode="External"/><Relationship Id="rId149" Type="http://schemas.openxmlformats.org/officeDocument/2006/relationships/hyperlink" Target="http://eur-lex.europa.eu/legal-content/EN/TXT/?uri=celex:32013D0094" TargetMode="External"/><Relationship Id="rId5" Type="http://schemas.openxmlformats.org/officeDocument/2006/relationships/footnotes" Target="footnotes.xml"/><Relationship Id="rId95" Type="http://schemas.openxmlformats.org/officeDocument/2006/relationships/hyperlink" Target="http://eur-lex.europa.eu/legal-content/EN/TXT/?uri=celex:32013D0094" TargetMode="External"/><Relationship Id="rId160" Type="http://schemas.openxmlformats.org/officeDocument/2006/relationships/hyperlink" Target="http://eur-lex.europa.eu/legal-content/EN/TXT/?uri=celex:32013D0094" TargetMode="External"/><Relationship Id="rId181" Type="http://schemas.openxmlformats.org/officeDocument/2006/relationships/hyperlink" Target="http://eur-lex.europa.eu/legal-content/EN/TXT/?uri=celex:32013D0094" TargetMode="External"/><Relationship Id="rId22" Type="http://schemas.openxmlformats.org/officeDocument/2006/relationships/hyperlink" Target="http://eur-lex.europa.eu/legal-content/EN/TXT/?uri=celex:32013D0094" TargetMode="External"/><Relationship Id="rId43" Type="http://schemas.openxmlformats.org/officeDocument/2006/relationships/hyperlink" Target="http://eur-lex.europa.eu/legal-content/EN/TXT/?uri=celex:32013D0094" TargetMode="External"/><Relationship Id="rId64" Type="http://schemas.openxmlformats.org/officeDocument/2006/relationships/hyperlink" Target="http://eur-lex.europa.eu/legal-content/EN/TXT/?uri=celex:32013D0094" TargetMode="External"/><Relationship Id="rId118" Type="http://schemas.openxmlformats.org/officeDocument/2006/relationships/image" Target="media/image4.png"/><Relationship Id="rId139" Type="http://schemas.openxmlformats.org/officeDocument/2006/relationships/hyperlink" Target="http://eur-lex.europa.eu/legal-content/EN/TXT/?uri=celex:32013D0094" TargetMode="External"/><Relationship Id="rId85" Type="http://schemas.openxmlformats.org/officeDocument/2006/relationships/hyperlink" Target="http://eur-lex.europa.eu/legal-content/EN/TXT/?uri=celex:32013D0094" TargetMode="External"/><Relationship Id="rId150" Type="http://schemas.openxmlformats.org/officeDocument/2006/relationships/hyperlink" Target="http://eur-lex.europa.eu/legal-content/EN/TXT/?uri=celex:32013D0094" TargetMode="External"/><Relationship Id="rId171" Type="http://schemas.openxmlformats.org/officeDocument/2006/relationships/hyperlink" Target="http://eur-lex.europa.eu/legal-content/EN/TXT/?uri=celex:32013D0094" TargetMode="External"/><Relationship Id="rId192" Type="http://schemas.openxmlformats.org/officeDocument/2006/relationships/hyperlink" Target="http://eur-lex.europa.eu/legal-content/EN/TXT/?uri=celex:32013D0094" TargetMode="External"/><Relationship Id="rId12" Type="http://schemas.openxmlformats.org/officeDocument/2006/relationships/hyperlink" Target="http://eur-lex.europa.eu/legal-content/EN/TXT/?uri=celex:32013D0094" TargetMode="External"/><Relationship Id="rId33" Type="http://schemas.openxmlformats.org/officeDocument/2006/relationships/hyperlink" Target="http://eur-lex.europa.eu/legal-content/EN/TXT/?uri=celex:32013D0094" TargetMode="External"/><Relationship Id="rId108" Type="http://schemas.openxmlformats.org/officeDocument/2006/relationships/hyperlink" Target="http://eur-lex.europa.eu/legal-content/EN/TXT/?uri=celex:32013D0094" TargetMode="External"/><Relationship Id="rId129" Type="http://schemas.openxmlformats.org/officeDocument/2006/relationships/hyperlink" Target="http://eur-lex.europa.eu/legal-content/EN/TXT/?uri=celex:32013D0094" TargetMode="External"/><Relationship Id="rId54" Type="http://schemas.openxmlformats.org/officeDocument/2006/relationships/hyperlink" Target="http://eur-lex.europa.eu/legal-content/EN/TXT/?uri=celex:32013D0094" TargetMode="External"/><Relationship Id="rId75" Type="http://schemas.openxmlformats.org/officeDocument/2006/relationships/hyperlink" Target="http://eur-lex.europa.eu/legal-content/EN/TXT/?uri=celex:32013D0094" TargetMode="External"/><Relationship Id="rId96" Type="http://schemas.openxmlformats.org/officeDocument/2006/relationships/hyperlink" Target="http://eur-lex.europa.eu/legal-content/EN/TXT/?uri=celex:32013D0094" TargetMode="External"/><Relationship Id="rId140" Type="http://schemas.openxmlformats.org/officeDocument/2006/relationships/hyperlink" Target="http://eur-lex.europa.eu/legal-content/EN/TXT/?uri=celex:32013D0094" TargetMode="External"/><Relationship Id="rId161" Type="http://schemas.openxmlformats.org/officeDocument/2006/relationships/hyperlink" Target="http://eur-lex.europa.eu/legal-content/EN/TXT/?uri=celex:32013D0094" TargetMode="External"/><Relationship Id="rId182" Type="http://schemas.openxmlformats.org/officeDocument/2006/relationships/hyperlink" Target="http://eur-lex.europa.eu/legal-content/EN/TXT/?uri=celex:32013D0094" TargetMode="External"/><Relationship Id="rId6" Type="http://schemas.openxmlformats.org/officeDocument/2006/relationships/endnotes" Target="endnotes.xml"/><Relationship Id="rId23" Type="http://schemas.openxmlformats.org/officeDocument/2006/relationships/hyperlink" Target="http://eur-lex.europa.eu/legal-content/EN/TXT/?uri=celex:32013D0094" TargetMode="External"/><Relationship Id="rId119" Type="http://schemas.openxmlformats.org/officeDocument/2006/relationships/image" Target="media/image5.png"/><Relationship Id="rId44" Type="http://schemas.openxmlformats.org/officeDocument/2006/relationships/hyperlink" Target="http://eur-lex.europa.eu/legal-content/EN/TXT/?uri=celex:32013D0094" TargetMode="External"/><Relationship Id="rId65" Type="http://schemas.openxmlformats.org/officeDocument/2006/relationships/hyperlink" Target="http://eur-lex.europa.eu/legal-content/EN/TXT/?uri=celex:32013D0094" TargetMode="External"/><Relationship Id="rId86" Type="http://schemas.openxmlformats.org/officeDocument/2006/relationships/hyperlink" Target="http://eur-lex.europa.eu/legal-content/EN/TXT/?uri=celex:32013D0094" TargetMode="External"/><Relationship Id="rId130" Type="http://schemas.openxmlformats.org/officeDocument/2006/relationships/hyperlink" Target="http://eur-lex.europa.eu/legal-content/EN/TXT/?uri=celex:32013D0094" TargetMode="External"/><Relationship Id="rId151" Type="http://schemas.openxmlformats.org/officeDocument/2006/relationships/hyperlink" Target="http://eur-lex.europa.eu/legal-content/EN/TXT/?uri=celex:32013D0094" TargetMode="External"/><Relationship Id="rId172" Type="http://schemas.openxmlformats.org/officeDocument/2006/relationships/hyperlink" Target="http://eur-lex.europa.eu/legal-content/EN/TXT/?uri=celex:32013D0094" TargetMode="External"/><Relationship Id="rId193" Type="http://schemas.openxmlformats.org/officeDocument/2006/relationships/hyperlink" Target="http://eur-lex.europa.eu/legal-content/EN/TXT/?uri=celex:32013D0094" TargetMode="External"/><Relationship Id="rId13" Type="http://schemas.openxmlformats.org/officeDocument/2006/relationships/hyperlink" Target="http://eur-lex.europa.eu/legal-content/EN/TXT/?uri=celex:32013D0094" TargetMode="External"/><Relationship Id="rId109" Type="http://schemas.openxmlformats.org/officeDocument/2006/relationships/hyperlink" Target="http://eur-lex.europa.eu/legal-content/EN/TXT/?uri=celex:32013D0094" TargetMode="External"/><Relationship Id="rId34" Type="http://schemas.openxmlformats.org/officeDocument/2006/relationships/hyperlink" Target="http://eur-lex.europa.eu/legal-content/EN/TXT/?uri=celex:32013D0094" TargetMode="External"/><Relationship Id="rId55" Type="http://schemas.openxmlformats.org/officeDocument/2006/relationships/hyperlink" Target="http://eur-lex.europa.eu/legal-content/EN/TXT/?uri=celex:32013D0094" TargetMode="External"/><Relationship Id="rId76" Type="http://schemas.openxmlformats.org/officeDocument/2006/relationships/hyperlink" Target="http://eur-lex.europa.eu/legal-content/EN/TXT/?uri=celex:32013D0094" TargetMode="External"/><Relationship Id="rId97" Type="http://schemas.openxmlformats.org/officeDocument/2006/relationships/hyperlink" Target="http://eur-lex.europa.eu/legal-content/EN/TXT/?uri=celex:32013D0094" TargetMode="External"/><Relationship Id="rId120" Type="http://schemas.openxmlformats.org/officeDocument/2006/relationships/image" Target="media/image6.png"/><Relationship Id="rId141" Type="http://schemas.openxmlformats.org/officeDocument/2006/relationships/hyperlink" Target="http://eur-lex.europa.eu/legal-content/EN/TXT/?uri=celex:32013D0094" TargetMode="External"/><Relationship Id="rId7" Type="http://schemas.openxmlformats.org/officeDocument/2006/relationships/hyperlink" Target="http://eur-lex.europa.eu/legal-content/EN/TXT/?uri=celex:32013D0094" TargetMode="External"/><Relationship Id="rId162" Type="http://schemas.openxmlformats.org/officeDocument/2006/relationships/hyperlink" Target="http://eur-lex.europa.eu/legal-content/EN/TXT/?uri=celex:32013D0094" TargetMode="External"/><Relationship Id="rId183" Type="http://schemas.openxmlformats.org/officeDocument/2006/relationships/hyperlink" Target="http://eur-lex.europa.eu/legal-content/EN/TXT/?uri=celex:32013D0094" TargetMode="External"/><Relationship Id="rId2" Type="http://schemas.openxmlformats.org/officeDocument/2006/relationships/styles" Target="styles.xml"/><Relationship Id="rId29" Type="http://schemas.openxmlformats.org/officeDocument/2006/relationships/hyperlink" Target="http://eur-lex.europa.eu/legal-content/EN/TXT/?uri=celex:32013D0094" TargetMode="External"/><Relationship Id="rId24" Type="http://schemas.openxmlformats.org/officeDocument/2006/relationships/hyperlink" Target="http://eur-lex.europa.eu/legal-content/EN/TXT/?uri=celex:32013D0094" TargetMode="External"/><Relationship Id="rId40" Type="http://schemas.openxmlformats.org/officeDocument/2006/relationships/hyperlink" Target="http://eur-lex.europa.eu/legal-content/EN/TXT/?uri=celex:32013D0094" TargetMode="External"/><Relationship Id="rId45" Type="http://schemas.openxmlformats.org/officeDocument/2006/relationships/hyperlink" Target="http://eur-lex.europa.eu/legal-content/EN/TXT/?uri=celex:32013D0094" TargetMode="External"/><Relationship Id="rId66" Type="http://schemas.openxmlformats.org/officeDocument/2006/relationships/hyperlink" Target="http://eur-lex.europa.eu/legal-content/EN/TXT/?uri=celex:32013D0094" TargetMode="External"/><Relationship Id="rId87" Type="http://schemas.openxmlformats.org/officeDocument/2006/relationships/hyperlink" Target="http://eur-lex.europa.eu/legal-content/EN/TXT/?uri=celex:32013D0094" TargetMode="External"/><Relationship Id="rId110" Type="http://schemas.openxmlformats.org/officeDocument/2006/relationships/hyperlink" Target="http://eur-lex.europa.eu/legal-content/EN/TXT/?uri=celex:32013D0094" TargetMode="External"/><Relationship Id="rId115" Type="http://schemas.openxmlformats.org/officeDocument/2006/relationships/image" Target="media/image2.jpeg"/><Relationship Id="rId131" Type="http://schemas.openxmlformats.org/officeDocument/2006/relationships/hyperlink" Target="http://eur-lex.europa.eu/legal-content/EN/TXT/?uri=celex:32013D0094" TargetMode="External"/><Relationship Id="rId136" Type="http://schemas.openxmlformats.org/officeDocument/2006/relationships/hyperlink" Target="http://eur-lex.europa.eu/legal-content/EN/TXT/?uri=celex:32013D0094" TargetMode="External"/><Relationship Id="rId157" Type="http://schemas.openxmlformats.org/officeDocument/2006/relationships/hyperlink" Target="http://eur-lex.europa.eu/legal-content/EN/TXT/?uri=celex:32013D0094" TargetMode="External"/><Relationship Id="rId178" Type="http://schemas.openxmlformats.org/officeDocument/2006/relationships/hyperlink" Target="http://eur-lex.europa.eu/legal-content/EN/TXT/?uri=celex:32013D0094" TargetMode="External"/><Relationship Id="rId61" Type="http://schemas.openxmlformats.org/officeDocument/2006/relationships/hyperlink" Target="http://eur-lex.europa.eu/legal-content/EN/TXT/?uri=celex:32013D0094" TargetMode="External"/><Relationship Id="rId82" Type="http://schemas.openxmlformats.org/officeDocument/2006/relationships/hyperlink" Target="http://eur-lex.europa.eu/legal-content/EN/TXT/?uri=celex:32013D0094" TargetMode="External"/><Relationship Id="rId152" Type="http://schemas.openxmlformats.org/officeDocument/2006/relationships/hyperlink" Target="http://eur-lex.europa.eu/legal-content/EN/TXT/?uri=celex:32013D0094" TargetMode="External"/><Relationship Id="rId173" Type="http://schemas.openxmlformats.org/officeDocument/2006/relationships/hyperlink" Target="http://eur-lex.europa.eu/legal-content/EN/TXT/?uri=celex:32013D0094" TargetMode="External"/><Relationship Id="rId194" Type="http://schemas.openxmlformats.org/officeDocument/2006/relationships/hyperlink" Target="http://eur-lex.europa.eu/legal-content/EN/TXT/?uri=celex:32013D0094" TargetMode="External"/><Relationship Id="rId199" Type="http://schemas.openxmlformats.org/officeDocument/2006/relationships/footer" Target="footer2.xml"/><Relationship Id="rId203" Type="http://schemas.openxmlformats.org/officeDocument/2006/relationships/theme" Target="theme/theme1.xml"/><Relationship Id="rId19" Type="http://schemas.openxmlformats.org/officeDocument/2006/relationships/hyperlink" Target="http://eur-lex.europa.eu/legal-content/EN/TXT/?uri=celex:32013D0094" TargetMode="External"/><Relationship Id="rId14" Type="http://schemas.openxmlformats.org/officeDocument/2006/relationships/hyperlink" Target="http://eur-lex.europa.eu/legal-content/EN/TXT/?uri=celex:32013D0094" TargetMode="External"/><Relationship Id="rId30" Type="http://schemas.openxmlformats.org/officeDocument/2006/relationships/hyperlink" Target="http://eur-lex.europa.eu/legal-content/EN/TXT/?uri=celex:32013D0094" TargetMode="External"/><Relationship Id="rId35" Type="http://schemas.openxmlformats.org/officeDocument/2006/relationships/hyperlink" Target="http://eur-lex.europa.eu/legal-content/EN/TXT/?uri=celex:32013D0094" TargetMode="External"/><Relationship Id="rId56" Type="http://schemas.openxmlformats.org/officeDocument/2006/relationships/hyperlink" Target="http://eur-lex.europa.eu/legal-content/EN/TXT/?uri=celex:32013D0094" TargetMode="External"/><Relationship Id="rId77" Type="http://schemas.openxmlformats.org/officeDocument/2006/relationships/hyperlink" Target="http://eur-lex.europa.eu/legal-content/EN/TXT/?uri=celex:32013D0094" TargetMode="External"/><Relationship Id="rId100" Type="http://schemas.openxmlformats.org/officeDocument/2006/relationships/hyperlink" Target="http://eur-lex.europa.eu/legal-content/EN/TXT/?uri=celex:32013D0094" TargetMode="External"/><Relationship Id="rId105" Type="http://schemas.openxmlformats.org/officeDocument/2006/relationships/hyperlink" Target="http://eur-lex.europa.eu/legal-content/EN/TXT/?uri=celex:32013D0094" TargetMode="External"/><Relationship Id="rId126" Type="http://schemas.openxmlformats.org/officeDocument/2006/relationships/hyperlink" Target="http://eur-lex.europa.eu/legal-content/EN/TXT/?uri=celex:32013D0094" TargetMode="External"/><Relationship Id="rId147" Type="http://schemas.openxmlformats.org/officeDocument/2006/relationships/hyperlink" Target="http://eur-lex.europa.eu/legal-content/EN/TXT/?uri=celex:32013D0094" TargetMode="External"/><Relationship Id="rId168" Type="http://schemas.openxmlformats.org/officeDocument/2006/relationships/hyperlink" Target="http://eur-lex.europa.eu/legal-content/EN/TXT/?uri=celex:32013D0094" TargetMode="External"/><Relationship Id="rId8" Type="http://schemas.openxmlformats.org/officeDocument/2006/relationships/hyperlink" Target="http://eur-lex.europa.eu/legal-content/EN/TXT/?uri=celex:32013D0094" TargetMode="External"/><Relationship Id="rId51" Type="http://schemas.openxmlformats.org/officeDocument/2006/relationships/hyperlink" Target="http://eur-lex.europa.eu/legal-content/EN/TXT/?uri=celex:32013D0094" TargetMode="External"/><Relationship Id="rId72" Type="http://schemas.openxmlformats.org/officeDocument/2006/relationships/hyperlink" Target="http://eur-lex.europa.eu/legal-content/EN/TXT/?uri=celex:32013D0094" TargetMode="External"/><Relationship Id="rId93" Type="http://schemas.openxmlformats.org/officeDocument/2006/relationships/hyperlink" Target="http://eur-lex.europa.eu/legal-content/EN/TXT/?uri=celex:32013D0094" TargetMode="External"/><Relationship Id="rId98" Type="http://schemas.openxmlformats.org/officeDocument/2006/relationships/hyperlink" Target="http://eur-lex.europa.eu/legal-content/EN/TXT/?uri=celex:32013D0094" TargetMode="External"/><Relationship Id="rId121" Type="http://schemas.openxmlformats.org/officeDocument/2006/relationships/image" Target="media/image7.jpeg"/><Relationship Id="rId142" Type="http://schemas.openxmlformats.org/officeDocument/2006/relationships/hyperlink" Target="http://eur-lex.europa.eu/legal-content/EN/TXT/?uri=celex:32013D0094" TargetMode="External"/><Relationship Id="rId163" Type="http://schemas.openxmlformats.org/officeDocument/2006/relationships/hyperlink" Target="http://eur-lex.europa.eu/legal-content/EN/TXT/?uri=celex:32013D0094" TargetMode="External"/><Relationship Id="rId184" Type="http://schemas.openxmlformats.org/officeDocument/2006/relationships/hyperlink" Target="http://eur-lex.europa.eu/legal-content/EN/TXT/?uri=celex:32013D0094" TargetMode="External"/><Relationship Id="rId189" Type="http://schemas.openxmlformats.org/officeDocument/2006/relationships/hyperlink" Target="http://eur-lex.europa.eu/legal-content/EN/TXT/?uri=celex:32013D0094" TargetMode="External"/><Relationship Id="rId3" Type="http://schemas.openxmlformats.org/officeDocument/2006/relationships/settings" Target="settings.xml"/><Relationship Id="rId25" Type="http://schemas.openxmlformats.org/officeDocument/2006/relationships/hyperlink" Target="http://eur-lex.europa.eu/legal-content/EN/TXT/?uri=celex:32013D0094" TargetMode="External"/><Relationship Id="rId46" Type="http://schemas.openxmlformats.org/officeDocument/2006/relationships/hyperlink" Target="http://eur-lex.europa.eu/legal-content/EN/TXT/?uri=celex:32013D0094" TargetMode="External"/><Relationship Id="rId67" Type="http://schemas.openxmlformats.org/officeDocument/2006/relationships/hyperlink" Target="http://eur-lex.europa.eu/legal-content/EN/TXT/?uri=celex:32013D0094" TargetMode="External"/><Relationship Id="rId116" Type="http://schemas.openxmlformats.org/officeDocument/2006/relationships/image" Target="media/image3.jpeg"/><Relationship Id="rId137" Type="http://schemas.openxmlformats.org/officeDocument/2006/relationships/hyperlink" Target="http://eur-lex.europa.eu/legal-content/EN/TXT/?uri=celex:32013D0094" TargetMode="External"/><Relationship Id="rId158" Type="http://schemas.openxmlformats.org/officeDocument/2006/relationships/hyperlink" Target="http://eur-lex.europa.eu/legal-content/EN/TXT/?uri=celex:32013D0094" TargetMode="External"/><Relationship Id="rId20" Type="http://schemas.openxmlformats.org/officeDocument/2006/relationships/hyperlink" Target="http://eur-lex.europa.eu/legal-content/EN/TXT/?uri=celex:32013D0094" TargetMode="External"/><Relationship Id="rId41" Type="http://schemas.openxmlformats.org/officeDocument/2006/relationships/hyperlink" Target="http://eur-lex.europa.eu/legal-content/EN/TXT/?uri=celex:32013D0094" TargetMode="External"/><Relationship Id="rId62" Type="http://schemas.openxmlformats.org/officeDocument/2006/relationships/hyperlink" Target="http://eur-lex.europa.eu/legal-content/EN/TXT/?uri=celex:32013D0094" TargetMode="External"/><Relationship Id="rId83" Type="http://schemas.openxmlformats.org/officeDocument/2006/relationships/hyperlink" Target="http://eur-lex.europa.eu/legal-content/EN/TXT/?uri=celex:32013D0094" TargetMode="External"/><Relationship Id="rId88" Type="http://schemas.openxmlformats.org/officeDocument/2006/relationships/hyperlink" Target="http://eur-lex.europa.eu/legal-content/EN/TXT/?uri=celex:32013D0094" TargetMode="External"/><Relationship Id="rId111" Type="http://schemas.openxmlformats.org/officeDocument/2006/relationships/hyperlink" Target="http://eur-lex.europa.eu/legal-content/EN/TXT/?uri=celex:32013D0094" TargetMode="External"/><Relationship Id="rId132" Type="http://schemas.openxmlformats.org/officeDocument/2006/relationships/hyperlink" Target="http://eur-lex.europa.eu/legal-content/EN/TXT/?uri=celex:32013D0094" TargetMode="External"/><Relationship Id="rId153" Type="http://schemas.openxmlformats.org/officeDocument/2006/relationships/hyperlink" Target="http://eur-lex.europa.eu/legal-content/EN/TXT/?uri=celex:32013D0094" TargetMode="External"/><Relationship Id="rId174" Type="http://schemas.openxmlformats.org/officeDocument/2006/relationships/hyperlink" Target="http://eur-lex.europa.eu/legal-content/EN/TXT/?uri=celex:32013D0094" TargetMode="External"/><Relationship Id="rId179" Type="http://schemas.openxmlformats.org/officeDocument/2006/relationships/hyperlink" Target="http://eur-lex.europa.eu/legal-content/EN/TXT/?uri=celex:32013D0094" TargetMode="External"/><Relationship Id="rId195" Type="http://schemas.openxmlformats.org/officeDocument/2006/relationships/hyperlink" Target="http://eur-lex.europa.eu/legal-content/EN/TXT/?uri=celex:32013D0094" TargetMode="External"/><Relationship Id="rId190" Type="http://schemas.openxmlformats.org/officeDocument/2006/relationships/hyperlink" Target="http://eur-lex.europa.eu/legal-content/EN/TXT/?uri=celex:32013D0094" TargetMode="External"/><Relationship Id="rId15" Type="http://schemas.openxmlformats.org/officeDocument/2006/relationships/hyperlink" Target="http://eur-lex.europa.eu/legal-content/EN/TXT/?uri=celex:32013D0094" TargetMode="External"/><Relationship Id="rId36" Type="http://schemas.openxmlformats.org/officeDocument/2006/relationships/hyperlink" Target="http://eur-lex.europa.eu/legal-content/EN/TXT/?uri=celex:32013D0094" TargetMode="External"/><Relationship Id="rId57" Type="http://schemas.openxmlformats.org/officeDocument/2006/relationships/hyperlink" Target="http://eur-lex.europa.eu/legal-content/EN/TXT/?uri=celex:32013D0094" TargetMode="External"/><Relationship Id="rId106" Type="http://schemas.openxmlformats.org/officeDocument/2006/relationships/hyperlink" Target="http://eur-lex.europa.eu/legal-content/EN/TXT/?uri=celex:32013D0094" TargetMode="External"/><Relationship Id="rId127" Type="http://schemas.openxmlformats.org/officeDocument/2006/relationships/hyperlink" Target="http://eur-lex.europa.eu/legal-content/EN/TXT/?uri=celex:32013D0094" TargetMode="External"/><Relationship Id="rId10" Type="http://schemas.openxmlformats.org/officeDocument/2006/relationships/hyperlink" Target="http://eur-lex.europa.eu/legal-content/EN/TXT/?uri=celex:32013D0094" TargetMode="External"/><Relationship Id="rId31" Type="http://schemas.openxmlformats.org/officeDocument/2006/relationships/hyperlink" Target="http://eur-lex.europa.eu/legal-content/EN/TXT/?uri=celex:32013D0094" TargetMode="External"/><Relationship Id="rId52" Type="http://schemas.openxmlformats.org/officeDocument/2006/relationships/hyperlink" Target="http://eur-lex.europa.eu/legal-content/EN/TXT/?uri=celex:32013D0094" TargetMode="External"/><Relationship Id="rId73" Type="http://schemas.openxmlformats.org/officeDocument/2006/relationships/hyperlink" Target="http://eur-lex.europa.eu/legal-content/EN/TXT/?uri=celex:32013D0094" TargetMode="External"/><Relationship Id="rId78" Type="http://schemas.openxmlformats.org/officeDocument/2006/relationships/hyperlink" Target="http://eur-lex.europa.eu/legal-content/EN/TXT/?uri=celex:32013D0094" TargetMode="External"/><Relationship Id="rId94" Type="http://schemas.openxmlformats.org/officeDocument/2006/relationships/hyperlink" Target="http://eur-lex.europa.eu/legal-content/EN/TXT/?uri=celex:32013D0094" TargetMode="External"/><Relationship Id="rId99" Type="http://schemas.openxmlformats.org/officeDocument/2006/relationships/hyperlink" Target="http://eur-lex.europa.eu/legal-content/EN/TXT/?uri=celex:32013D0094" TargetMode="External"/><Relationship Id="rId101" Type="http://schemas.openxmlformats.org/officeDocument/2006/relationships/hyperlink" Target="http://eur-lex.europa.eu/legal-content/EN/TXT/?uri=celex:32013D0094" TargetMode="External"/><Relationship Id="rId122" Type="http://schemas.openxmlformats.org/officeDocument/2006/relationships/image" Target="media/image8.jpeg"/><Relationship Id="rId143" Type="http://schemas.openxmlformats.org/officeDocument/2006/relationships/hyperlink" Target="http://eur-lex.europa.eu/legal-content/EN/TXT/?uri=celex:32013D0094" TargetMode="External"/><Relationship Id="rId148" Type="http://schemas.openxmlformats.org/officeDocument/2006/relationships/hyperlink" Target="http://eur-lex.europa.eu/legal-content/EN/TXT/?uri=celex:32013D0094" TargetMode="External"/><Relationship Id="rId164" Type="http://schemas.openxmlformats.org/officeDocument/2006/relationships/hyperlink" Target="http://eur-lex.europa.eu/legal-content/EN/TXT/?uri=celex:32013D0094" TargetMode="External"/><Relationship Id="rId169" Type="http://schemas.openxmlformats.org/officeDocument/2006/relationships/hyperlink" Target="http://eur-lex.europa.eu/legal-content/EN/TXT/?uri=celex:32013D0094" TargetMode="External"/><Relationship Id="rId185" Type="http://schemas.openxmlformats.org/officeDocument/2006/relationships/hyperlink" Target="http://eur-lex.europa.eu/legal-content/EN/TXT/?uri=celex:32013D0094" TargetMode="External"/><Relationship Id="rId4" Type="http://schemas.openxmlformats.org/officeDocument/2006/relationships/webSettings" Target="webSettings.xml"/><Relationship Id="rId9" Type="http://schemas.openxmlformats.org/officeDocument/2006/relationships/hyperlink" Target="http://eur-lex.europa.eu/legal-content/EN/TXT/?uri=celex:32013D0094" TargetMode="External"/><Relationship Id="rId180" Type="http://schemas.openxmlformats.org/officeDocument/2006/relationships/hyperlink" Target="http://eur-lex.europa.eu/legal-content/EN/TXT/?uri=celex:32013D0094" TargetMode="External"/><Relationship Id="rId26" Type="http://schemas.openxmlformats.org/officeDocument/2006/relationships/hyperlink" Target="http://eur-lex.europa.eu/legal-content/EN/TXT/?uri=celex:32013D0094" TargetMode="External"/><Relationship Id="rId47" Type="http://schemas.openxmlformats.org/officeDocument/2006/relationships/hyperlink" Target="http://eur-lex.europa.eu/legal-content/EN/TXT/?uri=celex:32013D0094" TargetMode="External"/><Relationship Id="rId68" Type="http://schemas.openxmlformats.org/officeDocument/2006/relationships/hyperlink" Target="http://eur-lex.europa.eu/legal-content/EN/TXT/?uri=celex:32013D0094" TargetMode="External"/><Relationship Id="rId89" Type="http://schemas.openxmlformats.org/officeDocument/2006/relationships/hyperlink" Target="http://eur-lex.europa.eu/legal-content/EN/TXT/?uri=celex:32013D0094" TargetMode="External"/><Relationship Id="rId112" Type="http://schemas.openxmlformats.org/officeDocument/2006/relationships/hyperlink" Target="http://eur-lex.europa.eu/legal-content/EN/TXT/?uri=celex:32013D0094" TargetMode="External"/><Relationship Id="rId133" Type="http://schemas.openxmlformats.org/officeDocument/2006/relationships/hyperlink" Target="http://eur-lex.europa.eu/legal-content/EN/TXT/?uri=celex:32013D0094" TargetMode="External"/><Relationship Id="rId154" Type="http://schemas.openxmlformats.org/officeDocument/2006/relationships/hyperlink" Target="http://eur-lex.europa.eu/legal-content/EN/TXT/?uri=celex:32013D0094" TargetMode="External"/><Relationship Id="rId175" Type="http://schemas.openxmlformats.org/officeDocument/2006/relationships/hyperlink" Target="http://eur-lex.europa.eu/legal-content/EN/TXT/?uri=celex:32013D0094" TargetMode="External"/><Relationship Id="rId196" Type="http://schemas.openxmlformats.org/officeDocument/2006/relationships/header" Target="header1.xml"/><Relationship Id="rId200" Type="http://schemas.openxmlformats.org/officeDocument/2006/relationships/header" Target="header3.xml"/><Relationship Id="rId16" Type="http://schemas.openxmlformats.org/officeDocument/2006/relationships/hyperlink" Target="http://eur-lex.europa.eu/legal-content/EN/TXT/?uri=celex:32013D0094" TargetMode="External"/><Relationship Id="rId37" Type="http://schemas.openxmlformats.org/officeDocument/2006/relationships/hyperlink" Target="http://eur-lex.europa.eu/legal-content/EN/TXT/?uri=celex:32013D0094" TargetMode="External"/><Relationship Id="rId58" Type="http://schemas.openxmlformats.org/officeDocument/2006/relationships/hyperlink" Target="http://eur-lex.europa.eu/legal-content/EN/TXT/?uri=celex:32013D0094" TargetMode="External"/><Relationship Id="rId79" Type="http://schemas.openxmlformats.org/officeDocument/2006/relationships/hyperlink" Target="http://eur-lex.europa.eu/legal-content/EN/TXT/?uri=celex:32013D0094" TargetMode="External"/><Relationship Id="rId102" Type="http://schemas.openxmlformats.org/officeDocument/2006/relationships/hyperlink" Target="http://eur-lex.europa.eu/legal-content/EN/TXT/?uri=celex:32013D0094" TargetMode="External"/><Relationship Id="rId123" Type="http://schemas.openxmlformats.org/officeDocument/2006/relationships/image" Target="media/image9.jpeg"/><Relationship Id="rId144" Type="http://schemas.openxmlformats.org/officeDocument/2006/relationships/hyperlink" Target="http://eur-lex.europa.eu/legal-content/EN/TXT/?uri=celex:32013D0094" TargetMode="External"/><Relationship Id="rId90" Type="http://schemas.openxmlformats.org/officeDocument/2006/relationships/hyperlink" Target="http://eur-lex.europa.eu/legal-content/EN/TXT/?uri=celex:32013D0094" TargetMode="External"/><Relationship Id="rId165" Type="http://schemas.openxmlformats.org/officeDocument/2006/relationships/hyperlink" Target="http://eur-lex.europa.eu/legal-content/EN/TXT/?uri=celex:32013D0094" TargetMode="External"/><Relationship Id="rId186" Type="http://schemas.openxmlformats.org/officeDocument/2006/relationships/hyperlink" Target="http://eur-lex.europa.eu/legal-content/EN/TXT/?uri=celex:32013D0094" TargetMode="External"/><Relationship Id="rId27" Type="http://schemas.openxmlformats.org/officeDocument/2006/relationships/hyperlink" Target="http://eur-lex.europa.eu/legal-content/EN/TXT/?uri=celex:32013D0094" TargetMode="External"/><Relationship Id="rId48" Type="http://schemas.openxmlformats.org/officeDocument/2006/relationships/hyperlink" Target="http://eur-lex.europa.eu/legal-content/EN/TXT/?uri=celex:32013D0094" TargetMode="External"/><Relationship Id="rId69" Type="http://schemas.openxmlformats.org/officeDocument/2006/relationships/hyperlink" Target="http://eur-lex.europa.eu/legal-content/EN/TXT/?uri=celex:32013D0094" TargetMode="External"/><Relationship Id="rId113" Type="http://schemas.openxmlformats.org/officeDocument/2006/relationships/hyperlink" Target="http://eur-lex.europa.eu/legal-content/EN/TXT/?uri=celex:32013D0094" TargetMode="External"/><Relationship Id="rId134" Type="http://schemas.openxmlformats.org/officeDocument/2006/relationships/hyperlink" Target="http://eur-lex.europa.eu/legal-content/EN/TXT/?uri=celex:32013D0094" TargetMode="External"/><Relationship Id="rId80" Type="http://schemas.openxmlformats.org/officeDocument/2006/relationships/hyperlink" Target="http://eur-lex.europa.eu/legal-content/EN/TXT/?uri=celex:32013D0094" TargetMode="External"/><Relationship Id="rId155" Type="http://schemas.openxmlformats.org/officeDocument/2006/relationships/hyperlink" Target="http://eur-lex.europa.eu/legal-content/EN/TXT/?uri=celex:32013D0094" TargetMode="External"/><Relationship Id="rId176" Type="http://schemas.openxmlformats.org/officeDocument/2006/relationships/hyperlink" Target="http://eur-lex.europa.eu/legal-content/EN/TXT/?uri=celex:32013D0094" TargetMode="External"/><Relationship Id="rId197" Type="http://schemas.openxmlformats.org/officeDocument/2006/relationships/header" Target="header2.xml"/><Relationship Id="rId201" Type="http://schemas.openxmlformats.org/officeDocument/2006/relationships/footer" Target="footer3.xml"/><Relationship Id="rId17" Type="http://schemas.openxmlformats.org/officeDocument/2006/relationships/hyperlink" Target="http://eur-lex.europa.eu/legal-content/EN/TXT/?uri=celex:32013D0094" TargetMode="External"/><Relationship Id="rId38" Type="http://schemas.openxmlformats.org/officeDocument/2006/relationships/hyperlink" Target="http://eur-lex.europa.eu/legal-content/EN/TXT/?uri=celex:32013D0094" TargetMode="External"/><Relationship Id="rId59" Type="http://schemas.openxmlformats.org/officeDocument/2006/relationships/hyperlink" Target="http://eur-lex.europa.eu/legal-content/EN/TXT/?uri=celex:32013D0094" TargetMode="External"/><Relationship Id="rId103" Type="http://schemas.openxmlformats.org/officeDocument/2006/relationships/hyperlink" Target="http://eur-lex.europa.eu/legal-content/EN/TXT/?uri=celex:32013D0094" TargetMode="External"/><Relationship Id="rId124" Type="http://schemas.openxmlformats.org/officeDocument/2006/relationships/image" Target="media/image10.jpeg"/><Relationship Id="rId70" Type="http://schemas.openxmlformats.org/officeDocument/2006/relationships/hyperlink" Target="http://eur-lex.europa.eu/legal-content/EN/TXT/?uri=celex:32013D0094" TargetMode="External"/><Relationship Id="rId91" Type="http://schemas.openxmlformats.org/officeDocument/2006/relationships/hyperlink" Target="http://eur-lex.europa.eu/legal-content/EN/TXT/?uri=celex:32013D0094" TargetMode="External"/><Relationship Id="rId145" Type="http://schemas.openxmlformats.org/officeDocument/2006/relationships/hyperlink" Target="http://eur-lex.europa.eu/legal-content/EN/TXT/?uri=celex:32013D0094" TargetMode="External"/><Relationship Id="rId166" Type="http://schemas.openxmlformats.org/officeDocument/2006/relationships/hyperlink" Target="http://eur-lex.europa.eu/legal-content/EN/TXT/?uri=celex:32013D0094" TargetMode="External"/><Relationship Id="rId187" Type="http://schemas.openxmlformats.org/officeDocument/2006/relationships/hyperlink" Target="http://eur-lex.europa.eu/legal-content/EN/TXT/?uri=celex:32013D0094" TargetMode="External"/><Relationship Id="rId1" Type="http://schemas.openxmlformats.org/officeDocument/2006/relationships/numbering" Target="numbering.xml"/><Relationship Id="rId28" Type="http://schemas.openxmlformats.org/officeDocument/2006/relationships/hyperlink" Target="http://eur-lex.europa.eu/legal-content/EN/TXT/?uri=celex:32013D0094" TargetMode="External"/><Relationship Id="rId49" Type="http://schemas.openxmlformats.org/officeDocument/2006/relationships/hyperlink" Target="http://eur-lex.europa.eu/legal-content/EN/TXT/?uri=celex:32013D0094" TargetMode="External"/><Relationship Id="rId114" Type="http://schemas.openxmlformats.org/officeDocument/2006/relationships/image" Target="media/image1.jpeg"/><Relationship Id="rId60" Type="http://schemas.openxmlformats.org/officeDocument/2006/relationships/hyperlink" Target="http://eur-lex.europa.eu/legal-content/EN/TXT/?uri=celex:32013D0094" TargetMode="External"/><Relationship Id="rId81" Type="http://schemas.openxmlformats.org/officeDocument/2006/relationships/hyperlink" Target="http://eur-lex.europa.eu/legal-content/EN/TXT/?uri=celex:32013D0094" TargetMode="External"/><Relationship Id="rId135" Type="http://schemas.openxmlformats.org/officeDocument/2006/relationships/hyperlink" Target="http://eur-lex.europa.eu/legal-content/EN/TXT/?uri=celex:32013D0094" TargetMode="External"/><Relationship Id="rId156" Type="http://schemas.openxmlformats.org/officeDocument/2006/relationships/hyperlink" Target="http://eur-lex.europa.eu/legal-content/EN/TXT/?uri=celex:32013D0094" TargetMode="External"/><Relationship Id="rId177" Type="http://schemas.openxmlformats.org/officeDocument/2006/relationships/hyperlink" Target="http://eur-lex.europa.eu/legal-content/EN/TXT/?uri=celex:32013D0094" TargetMode="External"/><Relationship Id="rId198" Type="http://schemas.openxmlformats.org/officeDocument/2006/relationships/footer" Target="footer1.xml"/><Relationship Id="rId202" Type="http://schemas.openxmlformats.org/officeDocument/2006/relationships/fontTable" Target="fontTable.xml"/><Relationship Id="rId18" Type="http://schemas.openxmlformats.org/officeDocument/2006/relationships/hyperlink" Target="http://eur-lex.europa.eu/legal-content/EN/TXT/?uri=celex:32013D0094" TargetMode="External"/><Relationship Id="rId39" Type="http://schemas.openxmlformats.org/officeDocument/2006/relationships/hyperlink" Target="http://eur-lex.europa.eu/legal-content/EN/TXT/?uri=celex:32013D0094" TargetMode="External"/><Relationship Id="rId50" Type="http://schemas.openxmlformats.org/officeDocument/2006/relationships/hyperlink" Target="http://eur-lex.europa.eu/legal-content/EN/TXT/?uri=celex:32013D0094" TargetMode="External"/><Relationship Id="rId104" Type="http://schemas.openxmlformats.org/officeDocument/2006/relationships/hyperlink" Target="http://eur-lex.europa.eu/legal-content/EN/TXT/?uri=celex:32013D0094" TargetMode="External"/><Relationship Id="rId125" Type="http://schemas.openxmlformats.org/officeDocument/2006/relationships/hyperlink" Target="http://eur-lex.europa.eu/legal-content/EN/TXT/?uri=celex:32013D0094" TargetMode="External"/><Relationship Id="rId146" Type="http://schemas.openxmlformats.org/officeDocument/2006/relationships/hyperlink" Target="http://eur-lex.europa.eu/legal-content/EN/TXT/?uri=celex:32013D0094" TargetMode="External"/><Relationship Id="rId167" Type="http://schemas.openxmlformats.org/officeDocument/2006/relationships/hyperlink" Target="http://eur-lex.europa.eu/legal-content/EN/TXT/?uri=celex:32013D0094" TargetMode="External"/><Relationship Id="rId188" Type="http://schemas.openxmlformats.org/officeDocument/2006/relationships/hyperlink" Target="http://eur-lex.europa.eu/legal-content/EN/TXT/?uri=celex:32013D0094" TargetMode="External"/><Relationship Id="rId71" Type="http://schemas.openxmlformats.org/officeDocument/2006/relationships/hyperlink" Target="http://eur-lex.europa.eu/legal-content/EN/TXT/?uri=celex:32013D0094" TargetMode="External"/><Relationship Id="rId92" Type="http://schemas.openxmlformats.org/officeDocument/2006/relationships/hyperlink" Target="http://eur-lex.europa.eu/legal-content/EN/TXT/?uri=celex:32013D00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234</Pages>
  <Words>74941</Words>
  <Characters>427166</Characters>
  <Application>Microsoft Office Word</Application>
  <DocSecurity>0</DocSecurity>
  <Lines>3559</Lines>
  <Paragraphs>1002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dc:creator>
  <cp:keywords/>
  <dc:description/>
  <cp:lastModifiedBy>Lia Todua</cp:lastModifiedBy>
  <cp:revision>2</cp:revision>
  <dcterms:created xsi:type="dcterms:W3CDTF">2018-05-03T07:29:00Z</dcterms:created>
  <dcterms:modified xsi:type="dcterms:W3CDTF">2018-05-03T07:29:00Z</dcterms:modified>
</cp:coreProperties>
</file>